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EB" w:rsidRPr="003C76EB" w:rsidRDefault="003C76EB" w:rsidP="003C76EB">
      <w:pPr>
        <w:pStyle w:val="Nzev"/>
      </w:pPr>
      <w:r w:rsidRPr="003C76EB">
        <w:t>ZÁSADY - metodická pomůcka</w:t>
      </w:r>
    </w:p>
    <w:p w:rsidR="003C76EB" w:rsidRPr="003C76EB" w:rsidRDefault="003C76EB" w:rsidP="003C76EB">
      <w:pPr>
        <w:rPr>
          <w:color w:val="auto"/>
        </w:rPr>
      </w:pPr>
    </w:p>
    <w:p w:rsidR="003C76EB" w:rsidRPr="003C76EB" w:rsidRDefault="003C76EB" w:rsidP="003C76EB">
      <w:pPr>
        <w:pStyle w:val="Podtitul"/>
      </w:pPr>
      <w:r w:rsidRPr="003C76EB">
        <w:t xml:space="preserve">1. Obecné požadavky 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>Základní požadavky na tvary a barvy dopravních značek jsou stanoveny vyhláškou č. 30 / 2001 Sb., kterou se provádějí pravidla provozu na pozemních komunikacích a úprava a řízení provozu na pozemních komunikacích.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 xml:space="preserve">Zákon č. 361/200 Sb. a vyhláška č. 30/2001 Sb. umožňuje pro zvýrazňování dopravního značení žlutozelený </w:t>
      </w:r>
      <w:proofErr w:type="spellStart"/>
      <w:r w:rsidRPr="003C76EB">
        <w:rPr>
          <w:color w:val="auto"/>
        </w:rPr>
        <w:t>retroreflexní</w:t>
      </w:r>
      <w:proofErr w:type="spellEnd"/>
      <w:r w:rsidRPr="003C76EB">
        <w:rPr>
          <w:color w:val="auto"/>
        </w:rPr>
        <w:t xml:space="preserve"> fluorescenční podklad činné plochy dopravní značky a výstražné světlo.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>Technické požadavky, tj. vlastnosti, provedení a další údaje a způsob osazování jsou stanoveny v ČSN 01 8020 "Dopravní značky na pozemních komunikacích" a podrobněji rozpracovány v technických podmínkách  DS ČR a MV ČR č. 65 "Zásady pro dopravní značení na pozemních komunikacích" a 66 "Zásady pro přechodné dopravní značení na pozemních komunikacích".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>Uvedené TP z roku 1995 nejsou v souladu s novými, výše uvedenými předpisy. Jejich novelizace ve smyslu nových právních úprav se předpokládá postupně od roku 2001 (TP 65 v roce 2001, TP 66 v roce 2002).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>Zvýraznění d</w:t>
      </w:r>
      <w:r>
        <w:rPr>
          <w:color w:val="auto"/>
        </w:rPr>
        <w:t>opravního značení lze dosáhnout</w:t>
      </w:r>
      <w:r w:rsidRPr="003C76EB">
        <w:rPr>
          <w:color w:val="auto"/>
        </w:rPr>
        <w:t>:</w:t>
      </w:r>
    </w:p>
    <w:p w:rsidR="003C76EB" w:rsidRPr="003C76EB" w:rsidRDefault="003C76EB" w:rsidP="003C76EB">
      <w:pPr>
        <w:pStyle w:val="Odstavecseseznamem"/>
        <w:numPr>
          <w:ilvl w:val="0"/>
          <w:numId w:val="3"/>
        </w:numPr>
        <w:rPr>
          <w:color w:val="auto"/>
        </w:rPr>
      </w:pPr>
      <w:r w:rsidRPr="003C76EB">
        <w:rPr>
          <w:color w:val="auto"/>
        </w:rPr>
        <w:t>zdůrazněním dopravní značky nebo dopravního zařízení,</w:t>
      </w:r>
    </w:p>
    <w:p w:rsidR="003C76EB" w:rsidRPr="003C76EB" w:rsidRDefault="003C76EB" w:rsidP="003C76EB">
      <w:pPr>
        <w:pStyle w:val="Odstavecseseznamem"/>
        <w:numPr>
          <w:ilvl w:val="0"/>
          <w:numId w:val="3"/>
        </w:numPr>
        <w:rPr>
          <w:color w:val="auto"/>
        </w:rPr>
      </w:pPr>
      <w:r w:rsidRPr="003C76EB">
        <w:rPr>
          <w:color w:val="auto"/>
        </w:rPr>
        <w:t>zlepšením viditelnosti dopravní značky nebo dopravního zařízení.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 xml:space="preserve">Rozhodnutí o použití zvýraznění dopravního značení musí být vždy na základě posouzení konkrétního případu a konkrétní dopravní situace. Používá se zejména při změnách dopravního režimu (např. změny přednosti v jízdě, zúžení vozovky, informační tabule a značky s proměnným textem či symbolem), v místech kde hrozí zvláštní nebezpečí ( např. směrové oblouky o malém poloměru, místa přecházejících osob, především dětí, náledí, nepřehledná </w:t>
      </w:r>
      <w:proofErr w:type="gramStart"/>
      <w:r w:rsidRPr="003C76EB">
        <w:rPr>
          <w:color w:val="auto"/>
        </w:rPr>
        <w:t>místa a pod.) nebo</w:t>
      </w:r>
      <w:proofErr w:type="gramEnd"/>
      <w:r w:rsidRPr="003C76EB">
        <w:rPr>
          <w:color w:val="auto"/>
        </w:rPr>
        <w:t xml:space="preserve"> v místech častého výskytu dopravních nehod. Zvýraznění dopravního značení nelze vázat obecně k určitému druhu dopravních značek, ale vždy ve vazbě na dopravní situaci. Zvýraznění dopravní značky nebo dopravního zařízení nelze použít tam, kde by to bylo v rozporu s požadavky na viditelnost jiného dopravního značení a zařízení.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>Pro zdůraznění nebo zvýšení viditelnosti dopravní značky nebo dopravního za</w:t>
      </w:r>
      <w:r>
        <w:rPr>
          <w:color w:val="auto"/>
        </w:rPr>
        <w:t>řízení lze užít těchto opatření</w:t>
      </w:r>
      <w:r w:rsidRPr="003C76EB">
        <w:rPr>
          <w:color w:val="auto"/>
        </w:rPr>
        <w:t>:</w:t>
      </w:r>
    </w:p>
    <w:p w:rsidR="003C76EB" w:rsidRPr="003C76EB" w:rsidRDefault="003C76EB" w:rsidP="003C76EB">
      <w:pPr>
        <w:pStyle w:val="Odstavecseseznamem"/>
        <w:numPr>
          <w:ilvl w:val="0"/>
          <w:numId w:val="4"/>
        </w:numPr>
        <w:rPr>
          <w:color w:val="auto"/>
        </w:rPr>
      </w:pPr>
      <w:r w:rsidRPr="003C76EB">
        <w:rPr>
          <w:color w:val="auto"/>
        </w:rPr>
        <w:t>výstražné světlo,</w:t>
      </w:r>
    </w:p>
    <w:p w:rsidR="003C76EB" w:rsidRPr="003C76EB" w:rsidRDefault="003C76EB" w:rsidP="003C76EB">
      <w:pPr>
        <w:pStyle w:val="Odstavecseseznamem"/>
        <w:numPr>
          <w:ilvl w:val="0"/>
          <w:numId w:val="4"/>
        </w:numPr>
        <w:rPr>
          <w:color w:val="auto"/>
        </w:rPr>
      </w:pPr>
      <w:r w:rsidRPr="003C76EB">
        <w:rPr>
          <w:color w:val="auto"/>
        </w:rPr>
        <w:t xml:space="preserve">umístění činné plochy svislé dopravní značky na   </w:t>
      </w:r>
      <w:proofErr w:type="spellStart"/>
      <w:r w:rsidRPr="003C76EB">
        <w:rPr>
          <w:color w:val="auto"/>
        </w:rPr>
        <w:t>retroreflexní</w:t>
      </w:r>
      <w:proofErr w:type="spellEnd"/>
      <w:r w:rsidRPr="003C76EB">
        <w:rPr>
          <w:color w:val="auto"/>
        </w:rPr>
        <w:t xml:space="preserve"> žlutozelený fluorescenční podklad podle § 5, odst. 4, </w:t>
      </w:r>
      <w:proofErr w:type="spellStart"/>
      <w:r w:rsidRPr="003C76EB">
        <w:rPr>
          <w:color w:val="auto"/>
        </w:rPr>
        <w:t>vyhl</w:t>
      </w:r>
      <w:proofErr w:type="spellEnd"/>
      <w:r w:rsidRPr="003C76EB">
        <w:rPr>
          <w:color w:val="auto"/>
        </w:rPr>
        <w:t>. č. 30/2001 Sb.,</w:t>
      </w:r>
    </w:p>
    <w:p w:rsidR="003C76EB" w:rsidRPr="003C76EB" w:rsidRDefault="003C76EB" w:rsidP="003C76EB">
      <w:pPr>
        <w:pStyle w:val="Odstavecseseznamem"/>
        <w:numPr>
          <w:ilvl w:val="0"/>
          <w:numId w:val="4"/>
        </w:numPr>
        <w:rPr>
          <w:color w:val="auto"/>
        </w:rPr>
      </w:pPr>
      <w:r w:rsidRPr="003C76EB">
        <w:rPr>
          <w:color w:val="auto"/>
        </w:rPr>
        <w:t>el</w:t>
      </w:r>
      <w:r w:rsidRPr="003C76EB">
        <w:rPr>
          <w:color w:val="auto"/>
        </w:rPr>
        <w:t xml:space="preserve">ektronické dopravní značky, které lze ve smyslu § 62 zákona č. 361/2000 </w:t>
      </w:r>
      <w:proofErr w:type="gramStart"/>
      <w:r w:rsidRPr="003C76EB">
        <w:rPr>
          <w:color w:val="auto"/>
        </w:rPr>
        <w:t>Sb. a   § 4, odst.</w:t>
      </w:r>
      <w:proofErr w:type="gramEnd"/>
      <w:r w:rsidRPr="003C76EB">
        <w:rPr>
          <w:color w:val="auto"/>
        </w:rPr>
        <w:t xml:space="preserve"> 2, </w:t>
      </w:r>
      <w:proofErr w:type="spellStart"/>
      <w:r w:rsidRPr="003C76EB">
        <w:rPr>
          <w:color w:val="auto"/>
        </w:rPr>
        <w:t>vyhl</w:t>
      </w:r>
      <w:proofErr w:type="spellEnd"/>
      <w:r w:rsidRPr="003C76EB">
        <w:rPr>
          <w:color w:val="auto"/>
        </w:rPr>
        <w:t>. č. 30/2001 Sb. považovat za proměnné dopravní značky,</w:t>
      </w:r>
    </w:p>
    <w:p w:rsidR="003C76EB" w:rsidRPr="003C76EB" w:rsidRDefault="003C76EB" w:rsidP="003C76EB">
      <w:pPr>
        <w:pStyle w:val="Odstavecseseznamem"/>
        <w:numPr>
          <w:ilvl w:val="0"/>
          <w:numId w:val="4"/>
        </w:numPr>
        <w:rPr>
          <w:color w:val="auto"/>
        </w:rPr>
      </w:pPr>
      <w:r w:rsidRPr="003C76EB">
        <w:rPr>
          <w:color w:val="auto"/>
        </w:rPr>
        <w:t>zvýraznění vodících a ochranných dopravních zařízení značkovací fólií.</w:t>
      </w:r>
    </w:p>
    <w:p w:rsidR="003C76EB" w:rsidRPr="003C76EB" w:rsidRDefault="003C76EB" w:rsidP="003C76EB">
      <w:pPr>
        <w:pStyle w:val="Podtitul"/>
      </w:pPr>
      <w:r w:rsidRPr="003C76EB">
        <w:t>2. Výstražná světla</w:t>
      </w:r>
    </w:p>
    <w:p w:rsidR="003C76EB" w:rsidRDefault="003C76EB" w:rsidP="003C76EB">
      <w:pPr>
        <w:rPr>
          <w:color w:val="auto"/>
        </w:rPr>
      </w:pPr>
      <w:r w:rsidRPr="003C76EB">
        <w:rPr>
          <w:color w:val="auto"/>
        </w:rPr>
        <w:t>2.1 Přechodné dopravní značení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 xml:space="preserve">V případě přechodného dopravního značení se výstražné světlo užije tam, kde TP 66 "Zásady pro přechodné dopravní značení na pozemních </w:t>
      </w:r>
      <w:proofErr w:type="gramStart"/>
      <w:r w:rsidRPr="003C76EB">
        <w:rPr>
          <w:color w:val="auto"/>
        </w:rPr>
        <w:t>komunikacích" v  jednotlivých</w:t>
      </w:r>
      <w:proofErr w:type="gramEnd"/>
      <w:r w:rsidRPr="003C76EB">
        <w:rPr>
          <w:color w:val="auto"/>
        </w:rPr>
        <w:t xml:space="preserve"> </w:t>
      </w:r>
      <w:proofErr w:type="spellStart"/>
      <w:r w:rsidRPr="003C76EB">
        <w:rPr>
          <w:color w:val="auto"/>
        </w:rPr>
        <w:t>schematech</w:t>
      </w:r>
      <w:proofErr w:type="spellEnd"/>
      <w:r w:rsidRPr="003C76EB">
        <w:rPr>
          <w:color w:val="auto"/>
        </w:rPr>
        <w:t xml:space="preserve"> navrhují pro zvýraznění dopravní značky nebo zařízení užití výstražného světla, světelné zábrany nebo světelné vodící tabule, například ve spojení s dopravním zařízením č. Z 1, Z 2, Z 3 a Z 4a-c</w:t>
      </w:r>
      <w:r w:rsidR="00506AB9">
        <w:rPr>
          <w:color w:val="auto"/>
        </w:rPr>
        <w:t>:</w:t>
      </w:r>
    </w:p>
    <w:p w:rsidR="003C76EB" w:rsidRPr="003C76EB" w:rsidRDefault="003C76EB" w:rsidP="003C76EB">
      <w:pPr>
        <w:pStyle w:val="Odstavecseseznamem"/>
        <w:numPr>
          <w:ilvl w:val="0"/>
          <w:numId w:val="6"/>
        </w:numPr>
        <w:rPr>
          <w:color w:val="auto"/>
        </w:rPr>
      </w:pPr>
      <w:r w:rsidRPr="003C76EB">
        <w:rPr>
          <w:color w:val="auto"/>
        </w:rPr>
        <w:lastRenderedPageBreak/>
        <w:t>postupný světelný řetězec,</w:t>
      </w:r>
    </w:p>
    <w:p w:rsidR="003C76EB" w:rsidRPr="003C76EB" w:rsidRDefault="003C76EB" w:rsidP="003C76EB">
      <w:pPr>
        <w:pStyle w:val="Odstavecseseznamem"/>
        <w:numPr>
          <w:ilvl w:val="0"/>
          <w:numId w:val="6"/>
        </w:numPr>
        <w:rPr>
          <w:color w:val="auto"/>
        </w:rPr>
      </w:pPr>
      <w:r w:rsidRPr="003C76EB">
        <w:rPr>
          <w:color w:val="auto"/>
        </w:rPr>
        <w:t>postupný světelný bod,</w:t>
      </w:r>
    </w:p>
    <w:p w:rsidR="003C76EB" w:rsidRPr="003C76EB" w:rsidRDefault="003C76EB" w:rsidP="003C76EB">
      <w:pPr>
        <w:pStyle w:val="Odstavecseseznamem"/>
        <w:numPr>
          <w:ilvl w:val="0"/>
          <w:numId w:val="6"/>
        </w:numPr>
        <w:rPr>
          <w:color w:val="auto"/>
        </w:rPr>
      </w:pPr>
      <w:r w:rsidRPr="003C76EB">
        <w:rPr>
          <w:color w:val="auto"/>
        </w:rPr>
        <w:t>současné blikání všech světel,</w:t>
      </w:r>
    </w:p>
    <w:p w:rsidR="003C76EB" w:rsidRPr="003C76EB" w:rsidRDefault="003C76EB" w:rsidP="003C76EB">
      <w:pPr>
        <w:pStyle w:val="Odstavecseseznamem"/>
        <w:numPr>
          <w:ilvl w:val="0"/>
          <w:numId w:val="6"/>
        </w:numPr>
        <w:rPr>
          <w:color w:val="auto"/>
        </w:rPr>
      </w:pPr>
      <w:r w:rsidRPr="003C76EB">
        <w:rPr>
          <w:color w:val="auto"/>
        </w:rPr>
        <w:t>světelná zábrana ve spojení s dopravním zařízením č. Z 1, Z 2,</w:t>
      </w:r>
    </w:p>
    <w:p w:rsidR="003C76EB" w:rsidRPr="003C76EB" w:rsidRDefault="003C76EB" w:rsidP="003C76EB">
      <w:pPr>
        <w:pStyle w:val="Odstavecseseznamem"/>
        <w:numPr>
          <w:ilvl w:val="0"/>
          <w:numId w:val="6"/>
        </w:numPr>
        <w:rPr>
          <w:color w:val="auto"/>
        </w:rPr>
      </w:pPr>
      <w:r w:rsidRPr="003C76EB">
        <w:rPr>
          <w:color w:val="auto"/>
        </w:rPr>
        <w:t>současné blikání všech světel,</w:t>
      </w:r>
    </w:p>
    <w:p w:rsidR="003C76EB" w:rsidRPr="003C76EB" w:rsidRDefault="003C76EB" w:rsidP="003C76EB">
      <w:pPr>
        <w:pStyle w:val="Odstavecseseznamem"/>
        <w:numPr>
          <w:ilvl w:val="0"/>
          <w:numId w:val="6"/>
        </w:numPr>
        <w:rPr>
          <w:color w:val="auto"/>
        </w:rPr>
      </w:pPr>
      <w:r w:rsidRPr="003C76EB">
        <w:rPr>
          <w:color w:val="auto"/>
        </w:rPr>
        <w:t>střídavé blikání sudých a lichých světel,</w:t>
      </w:r>
    </w:p>
    <w:p w:rsidR="003C76EB" w:rsidRPr="003C76EB" w:rsidRDefault="003C76EB" w:rsidP="003C76EB">
      <w:pPr>
        <w:pStyle w:val="Odstavecseseznamem"/>
        <w:numPr>
          <w:ilvl w:val="0"/>
          <w:numId w:val="6"/>
        </w:numPr>
        <w:rPr>
          <w:color w:val="auto"/>
        </w:rPr>
      </w:pPr>
      <w:r w:rsidRPr="003C76EB">
        <w:rPr>
          <w:color w:val="auto"/>
        </w:rPr>
        <w:t>postupný světelný řetězec nebo postupný světelný bod.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>2.2 Trvalé dopravní značení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>V případě trvalého dopravního značení se doporučuje použití výstražného světla ve spojení s dopravní značkou tam, kde je žádoucí zdůraznit dopravní značku, například</w:t>
      </w:r>
      <w:r w:rsidR="00506AB9">
        <w:rPr>
          <w:color w:val="auto"/>
        </w:rPr>
        <w:t>:</w:t>
      </w:r>
    </w:p>
    <w:p w:rsidR="003C76EB" w:rsidRPr="003C76EB" w:rsidRDefault="003C76EB" w:rsidP="003C76EB">
      <w:pPr>
        <w:pStyle w:val="Odstavecseseznamem"/>
        <w:numPr>
          <w:ilvl w:val="0"/>
          <w:numId w:val="6"/>
        </w:numPr>
        <w:rPr>
          <w:color w:val="auto"/>
        </w:rPr>
      </w:pPr>
      <w:r w:rsidRPr="003C76EB">
        <w:rPr>
          <w:color w:val="auto"/>
        </w:rPr>
        <w:t xml:space="preserve">před přechodem pro chodce, přejezdem pro cyklisty nebo v místech častého pohybu dětí, a to většinou jen v určitém časovém intervalu (ve spojení s dopravními </w:t>
      </w:r>
      <w:proofErr w:type="gramStart"/>
      <w:r w:rsidRPr="003C76EB">
        <w:rPr>
          <w:color w:val="auto"/>
        </w:rPr>
        <w:t>značkami  č.</w:t>
      </w:r>
      <w:proofErr w:type="gramEnd"/>
      <w:r w:rsidRPr="003C76EB">
        <w:rPr>
          <w:color w:val="auto"/>
        </w:rPr>
        <w:t xml:space="preserve"> A 11, A 12, IP 6, IP 7),</w:t>
      </w:r>
    </w:p>
    <w:p w:rsidR="003C76EB" w:rsidRPr="003C76EB" w:rsidRDefault="003C76EB" w:rsidP="003C76EB">
      <w:pPr>
        <w:pStyle w:val="Odstavecseseznamem"/>
        <w:numPr>
          <w:ilvl w:val="0"/>
          <w:numId w:val="6"/>
        </w:numPr>
        <w:rPr>
          <w:color w:val="auto"/>
        </w:rPr>
      </w:pPr>
      <w:r w:rsidRPr="003C76EB">
        <w:rPr>
          <w:color w:val="auto"/>
        </w:rPr>
        <w:t>pouze za určité dopravní situace (nebezpečí smyku ap.) ve spojení s dopravní značkou č. A 8 nebo A 22, zejména ve spojení s dodatkovou tabulkou č. E 6 "Za mokra" a č. A 24 "Náledí", při osazení čidel signalizujících stav vozovky (náledí).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>U dopravních zařízení lze doporučit zvýraznění vodící tabule č. Z 3 ve spojení se světelnou vodící tabulí v režimu postupný světelný řetězec nebo postupný světelný bod.</w:t>
      </w:r>
    </w:p>
    <w:p w:rsidR="003C76EB" w:rsidRPr="003C76EB" w:rsidRDefault="003C76EB" w:rsidP="003C76EB">
      <w:pPr>
        <w:pStyle w:val="Podtitul"/>
      </w:pPr>
      <w:r w:rsidRPr="003C76EB">
        <w:t xml:space="preserve">3.  Zdůraznění významu a zlepšení viditelnosti svislé dopravní značky umístěním na </w:t>
      </w:r>
      <w:proofErr w:type="spellStart"/>
      <w:r w:rsidRPr="003C76EB">
        <w:t>retroreflexní</w:t>
      </w:r>
      <w:proofErr w:type="spellEnd"/>
      <w:r w:rsidRPr="003C76EB">
        <w:t xml:space="preserve"> žlutozelený fluorescenční podklad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 xml:space="preserve">Zdůraznění významu a zlepšení viditelnosti svislé dopravní značky jejím umístěním na </w:t>
      </w:r>
      <w:proofErr w:type="spellStart"/>
      <w:r w:rsidRPr="003C76EB">
        <w:rPr>
          <w:color w:val="auto"/>
        </w:rPr>
        <w:t>retroreflexním</w:t>
      </w:r>
      <w:proofErr w:type="spellEnd"/>
      <w:r w:rsidRPr="003C76EB">
        <w:rPr>
          <w:color w:val="auto"/>
        </w:rPr>
        <w:t xml:space="preserve"> žlutozeleném fluorescenčním podkladu podle § 5, odst. 2, </w:t>
      </w:r>
      <w:proofErr w:type="spellStart"/>
      <w:proofErr w:type="gramStart"/>
      <w:r w:rsidRPr="003C76EB">
        <w:rPr>
          <w:color w:val="auto"/>
        </w:rPr>
        <w:t>vyhl.č</w:t>
      </w:r>
      <w:proofErr w:type="spellEnd"/>
      <w:r w:rsidRPr="003C76EB">
        <w:rPr>
          <w:color w:val="auto"/>
        </w:rPr>
        <w:t>.</w:t>
      </w:r>
      <w:proofErr w:type="gramEnd"/>
      <w:r w:rsidRPr="003C76EB">
        <w:rPr>
          <w:color w:val="auto"/>
        </w:rPr>
        <w:t xml:space="preserve"> 30/2001 je žádoucí tam, kde je třeba dopravní značení vyznačující určitou dopravní situaci zvýraznit trvale.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 xml:space="preserve">Tvarové provedení žlutozeleného fluorescenčního </w:t>
      </w:r>
      <w:proofErr w:type="spellStart"/>
      <w:r w:rsidRPr="003C76EB">
        <w:rPr>
          <w:color w:val="auto"/>
        </w:rPr>
        <w:t>retroreflexního</w:t>
      </w:r>
      <w:proofErr w:type="spellEnd"/>
      <w:r w:rsidRPr="003C76EB">
        <w:rPr>
          <w:color w:val="auto"/>
        </w:rPr>
        <w:t xml:space="preserve"> podkladu dopravní značky se doporučuje v poměru stran výška x šířka 1,5</w:t>
      </w:r>
      <w:r w:rsidR="00506AB9">
        <w:rPr>
          <w:color w:val="auto"/>
        </w:rPr>
        <w:t>:</w:t>
      </w:r>
      <w:r w:rsidRPr="003C76EB">
        <w:rPr>
          <w:color w:val="auto"/>
        </w:rPr>
        <w:t xml:space="preserve"> 1 (např. 1 500 x 1 000 mm).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 xml:space="preserve">V případě použití </w:t>
      </w:r>
      <w:proofErr w:type="spellStart"/>
      <w:r w:rsidRPr="003C76EB">
        <w:rPr>
          <w:color w:val="auto"/>
        </w:rPr>
        <w:t>retroreflexního</w:t>
      </w:r>
      <w:proofErr w:type="spellEnd"/>
      <w:r w:rsidRPr="003C76EB">
        <w:rPr>
          <w:color w:val="auto"/>
        </w:rPr>
        <w:t xml:space="preserve"> podkladu u dopravních značek s výjimečným tvarem, tj. u značek č. A 32a - b, P4 a P6, se nepoužívá </w:t>
      </w:r>
      <w:proofErr w:type="spellStart"/>
      <w:r w:rsidRPr="003C76EB">
        <w:rPr>
          <w:color w:val="auto"/>
        </w:rPr>
        <w:t>retroreflexní</w:t>
      </w:r>
      <w:proofErr w:type="spellEnd"/>
      <w:r w:rsidRPr="003C76EB">
        <w:rPr>
          <w:color w:val="auto"/>
        </w:rPr>
        <w:t xml:space="preserve"> podklad, ale olemování značky touto fólií.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 xml:space="preserve">Pro fluorescenční podklad se požaduje </w:t>
      </w:r>
      <w:proofErr w:type="spellStart"/>
      <w:r w:rsidRPr="003C76EB">
        <w:rPr>
          <w:color w:val="auto"/>
        </w:rPr>
        <w:t>retroreflexní</w:t>
      </w:r>
      <w:proofErr w:type="spellEnd"/>
      <w:r w:rsidRPr="003C76EB">
        <w:rPr>
          <w:color w:val="auto"/>
        </w:rPr>
        <w:t xml:space="preserve"> materiál výrazně převyšující třídu 2 dle ČSN 018020 (měrný součinitel svítivosti). Činná plocha dopravní značky by měla být z </w:t>
      </w:r>
      <w:proofErr w:type="spellStart"/>
      <w:r w:rsidRPr="003C76EB">
        <w:rPr>
          <w:color w:val="auto"/>
        </w:rPr>
        <w:t>retroreflexního</w:t>
      </w:r>
      <w:proofErr w:type="spellEnd"/>
      <w:r w:rsidRPr="003C76EB">
        <w:rPr>
          <w:color w:val="auto"/>
        </w:rPr>
        <w:t xml:space="preserve"> materiálu shodné třídy.</w:t>
      </w:r>
    </w:p>
    <w:p w:rsidR="003C76EB" w:rsidRDefault="003C76EB" w:rsidP="003C76EB">
      <w:pPr>
        <w:rPr>
          <w:color w:val="auto"/>
        </w:rPr>
      </w:pP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>3.1 Přechodné dopravní značení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 xml:space="preserve">V případě přechodného dopravního značení se doporučuje použití žlutozeleného fluorescenčního </w:t>
      </w:r>
      <w:proofErr w:type="spellStart"/>
      <w:r w:rsidRPr="003C76EB">
        <w:rPr>
          <w:color w:val="auto"/>
        </w:rPr>
        <w:t>retroreflexního</w:t>
      </w:r>
      <w:proofErr w:type="spellEnd"/>
      <w:r w:rsidRPr="003C76EB">
        <w:rPr>
          <w:color w:val="auto"/>
        </w:rPr>
        <w:t xml:space="preserve"> podkladu dopravní značky zejména v těchto případech:</w:t>
      </w:r>
    </w:p>
    <w:p w:rsidR="003C76EB" w:rsidRPr="003C76EB" w:rsidRDefault="003C76EB" w:rsidP="003C76EB">
      <w:pPr>
        <w:rPr>
          <w:color w:val="auto"/>
        </w:rPr>
      </w:pPr>
    </w:p>
    <w:p w:rsidR="003C76EB" w:rsidRPr="003C76EB" w:rsidRDefault="003C76EB" w:rsidP="003C76EB">
      <w:pPr>
        <w:pStyle w:val="Odstavecseseznamem"/>
        <w:numPr>
          <w:ilvl w:val="0"/>
          <w:numId w:val="6"/>
        </w:numPr>
        <w:rPr>
          <w:color w:val="auto"/>
        </w:rPr>
      </w:pPr>
      <w:r w:rsidRPr="003C76EB">
        <w:rPr>
          <w:color w:val="auto"/>
        </w:rPr>
        <w:t>tam, kde v TP 66 "Zásady pro přechodné dopravní značení na pozemních komunikacích", je v jednotlivých schématech navrženo pro zvýraznění dopravní značky nebo zařízení užití výstražného světla, světelné zábrany nebo světelné vodící tabule, přičemž je možno použít fluorescenční podklad, nebo výstražná světla, nebo obojí,</w:t>
      </w:r>
    </w:p>
    <w:p w:rsidR="003C76EB" w:rsidRPr="003C76EB" w:rsidRDefault="003C76EB" w:rsidP="003C76EB">
      <w:pPr>
        <w:pStyle w:val="Odstavecseseznamem"/>
        <w:numPr>
          <w:ilvl w:val="0"/>
          <w:numId w:val="6"/>
        </w:numPr>
        <w:rPr>
          <w:color w:val="auto"/>
        </w:rPr>
      </w:pPr>
      <w:r w:rsidRPr="003C76EB">
        <w:rPr>
          <w:color w:val="auto"/>
        </w:rPr>
        <w:lastRenderedPageBreak/>
        <w:t>ve velkoplošném provedení (v poměru stran výška x šířka 2,5 - 3</w:t>
      </w:r>
      <w:r w:rsidR="00506AB9">
        <w:rPr>
          <w:color w:val="auto"/>
        </w:rPr>
        <w:t>:</w:t>
      </w:r>
      <w:r w:rsidRPr="003C76EB">
        <w:rPr>
          <w:color w:val="auto"/>
        </w:rPr>
        <w:t xml:space="preserve"> 1) pro bezpečné snížení rychlosti a vedení vozidla v místě zúžení na začátku dopravních opatření na dopravně významných komunikacích,</w:t>
      </w:r>
    </w:p>
    <w:p w:rsidR="003C76EB" w:rsidRPr="003C76EB" w:rsidRDefault="003C76EB" w:rsidP="003C76EB">
      <w:pPr>
        <w:pStyle w:val="Odstavecseseznamem"/>
        <w:numPr>
          <w:ilvl w:val="0"/>
          <w:numId w:val="6"/>
        </w:numPr>
        <w:rPr>
          <w:color w:val="auto"/>
        </w:rPr>
      </w:pPr>
      <w:r w:rsidRPr="003C76EB">
        <w:rPr>
          <w:color w:val="auto"/>
        </w:rPr>
        <w:t>vyznačení havarijních situací na dopravně významných komunikacích.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>3.2 Trvalé dopravní značení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 xml:space="preserve">V případě trvalého dopravního značení se doporučuje zdůraznění významu a zlepšení viditelnosti svislé dopravní značky jejím umístěním na </w:t>
      </w:r>
      <w:proofErr w:type="spellStart"/>
      <w:r w:rsidRPr="003C76EB">
        <w:rPr>
          <w:color w:val="auto"/>
        </w:rPr>
        <w:t>retroreflexním</w:t>
      </w:r>
      <w:proofErr w:type="spellEnd"/>
      <w:r w:rsidRPr="003C76EB">
        <w:rPr>
          <w:color w:val="auto"/>
        </w:rPr>
        <w:t xml:space="preserve"> žlutozeleném fluorescenčním podkladu například</w:t>
      </w:r>
      <w:r w:rsidR="00506AB9">
        <w:rPr>
          <w:color w:val="auto"/>
        </w:rPr>
        <w:t>:</w:t>
      </w:r>
    </w:p>
    <w:p w:rsidR="003C76EB" w:rsidRPr="003C76EB" w:rsidRDefault="003C76EB" w:rsidP="003C76EB">
      <w:pPr>
        <w:pStyle w:val="Odstavecseseznamem"/>
        <w:numPr>
          <w:ilvl w:val="0"/>
          <w:numId w:val="6"/>
        </w:numPr>
        <w:rPr>
          <w:color w:val="auto"/>
        </w:rPr>
      </w:pPr>
      <w:r w:rsidRPr="003C76EB">
        <w:rPr>
          <w:color w:val="auto"/>
        </w:rPr>
        <w:t>při změně dopravního režimu (např. u informačních tabulí č. IP 22),</w:t>
      </w:r>
    </w:p>
    <w:p w:rsidR="003C76EB" w:rsidRPr="003C76EB" w:rsidRDefault="003C76EB" w:rsidP="003C76EB">
      <w:pPr>
        <w:pStyle w:val="Odstavecseseznamem"/>
        <w:numPr>
          <w:ilvl w:val="0"/>
          <w:numId w:val="6"/>
        </w:numPr>
        <w:rPr>
          <w:color w:val="auto"/>
        </w:rPr>
      </w:pPr>
      <w:r w:rsidRPr="003C76EB">
        <w:rPr>
          <w:color w:val="auto"/>
        </w:rPr>
        <w:t>u informačních tabulí, vyznačujících místa častých nehod,</w:t>
      </w:r>
    </w:p>
    <w:p w:rsidR="003C76EB" w:rsidRPr="00506AB9" w:rsidRDefault="003C76EB" w:rsidP="003C76EB">
      <w:pPr>
        <w:pStyle w:val="Odstavecseseznamem"/>
        <w:numPr>
          <w:ilvl w:val="0"/>
          <w:numId w:val="9"/>
        </w:numPr>
        <w:rPr>
          <w:color w:val="auto"/>
        </w:rPr>
      </w:pPr>
      <w:r w:rsidRPr="003C76EB">
        <w:rPr>
          <w:color w:val="auto"/>
        </w:rPr>
        <w:t xml:space="preserve">u dopravních značek a zařízení, vyznačujících dopravní situaci </w:t>
      </w:r>
      <w:proofErr w:type="gramStart"/>
      <w:r w:rsidRPr="003C76EB">
        <w:rPr>
          <w:color w:val="auto"/>
        </w:rPr>
        <w:t>zakončenou     únikovým</w:t>
      </w:r>
      <w:proofErr w:type="gramEnd"/>
      <w:r w:rsidRPr="003C76EB">
        <w:rPr>
          <w:color w:val="auto"/>
        </w:rPr>
        <w:t xml:space="preserve"> pruhem,</w:t>
      </w:r>
    </w:p>
    <w:p w:rsidR="003C76EB" w:rsidRPr="00506AB9" w:rsidRDefault="003C76EB" w:rsidP="003C76EB">
      <w:pPr>
        <w:pStyle w:val="Odstavecseseznamem"/>
        <w:numPr>
          <w:ilvl w:val="0"/>
          <w:numId w:val="9"/>
        </w:numPr>
        <w:rPr>
          <w:color w:val="auto"/>
        </w:rPr>
      </w:pPr>
      <w:r w:rsidRPr="003C76EB">
        <w:rPr>
          <w:color w:val="auto"/>
        </w:rPr>
        <w:t xml:space="preserve">v místech snížené podjezdné výšky, zejména u dopravní značky č. B 16 </w:t>
      </w:r>
      <w:proofErr w:type="gramStart"/>
      <w:r w:rsidRPr="003C76EB">
        <w:rPr>
          <w:color w:val="auto"/>
        </w:rPr>
        <w:t>zakazující  vjezd</w:t>
      </w:r>
      <w:proofErr w:type="gramEnd"/>
      <w:r w:rsidRPr="003C76EB">
        <w:rPr>
          <w:color w:val="auto"/>
        </w:rPr>
        <w:t xml:space="preserve"> vysokým vozidlům v případě, že vyznačuje sníženou výšku trolejového vedení,</w:t>
      </w:r>
    </w:p>
    <w:p w:rsidR="003C76EB" w:rsidRPr="00506AB9" w:rsidRDefault="003C76EB" w:rsidP="003C76EB">
      <w:pPr>
        <w:pStyle w:val="Odstavecseseznamem"/>
        <w:numPr>
          <w:ilvl w:val="0"/>
          <w:numId w:val="9"/>
        </w:numPr>
        <w:rPr>
          <w:color w:val="auto"/>
        </w:rPr>
      </w:pPr>
      <w:r w:rsidRPr="003C76EB">
        <w:rPr>
          <w:color w:val="auto"/>
        </w:rPr>
        <w:t xml:space="preserve">v místech přechodu pro chodce a zvýšeného pohybu dětí u dopravních značek </w:t>
      </w:r>
      <w:proofErr w:type="gramStart"/>
      <w:r w:rsidRPr="003C76EB">
        <w:rPr>
          <w:color w:val="auto"/>
        </w:rPr>
        <w:t>č.  A 11</w:t>
      </w:r>
      <w:proofErr w:type="gramEnd"/>
      <w:r w:rsidRPr="003C76EB">
        <w:rPr>
          <w:color w:val="auto"/>
        </w:rPr>
        <w:t xml:space="preserve"> a </w:t>
      </w:r>
      <w:proofErr w:type="spellStart"/>
      <w:r w:rsidRPr="003C76EB">
        <w:rPr>
          <w:color w:val="auto"/>
        </w:rPr>
        <w:t>A</w:t>
      </w:r>
      <w:proofErr w:type="spellEnd"/>
      <w:r w:rsidRPr="003C76EB">
        <w:rPr>
          <w:color w:val="auto"/>
        </w:rPr>
        <w:t xml:space="preserve"> 12,</w:t>
      </w:r>
    </w:p>
    <w:p w:rsidR="003C76EB" w:rsidRPr="00506AB9" w:rsidRDefault="003C76EB" w:rsidP="003C76EB">
      <w:pPr>
        <w:pStyle w:val="Odstavecseseznamem"/>
        <w:numPr>
          <w:ilvl w:val="0"/>
          <w:numId w:val="9"/>
        </w:numPr>
        <w:rPr>
          <w:color w:val="auto"/>
        </w:rPr>
      </w:pPr>
      <w:r w:rsidRPr="003C76EB">
        <w:rPr>
          <w:color w:val="auto"/>
        </w:rPr>
        <w:t>v místech přejezdu pro cyklisty ve spojení s dopravními značkami č. A 19 a IP 7,</w:t>
      </w:r>
    </w:p>
    <w:p w:rsidR="003C76EB" w:rsidRPr="003C76EB" w:rsidRDefault="003C76EB" w:rsidP="003C76EB">
      <w:pPr>
        <w:pStyle w:val="Odstavecseseznamem"/>
        <w:numPr>
          <w:ilvl w:val="0"/>
          <w:numId w:val="9"/>
        </w:numPr>
        <w:rPr>
          <w:color w:val="auto"/>
        </w:rPr>
      </w:pPr>
      <w:r w:rsidRPr="003C76EB">
        <w:rPr>
          <w:color w:val="auto"/>
        </w:rPr>
        <w:t>pro vyznačení přechodů pro chodce na silnicích I. třídy a místních komunikacích tam, kde je místní úpravou silničního provozu povolena nejvyšší dovolená rychlost vyšší než 50 km/h,</w:t>
      </w:r>
    </w:p>
    <w:p w:rsidR="003C76EB" w:rsidRPr="003C76EB" w:rsidRDefault="003C76EB" w:rsidP="003C76EB">
      <w:pPr>
        <w:pStyle w:val="Odstavecseseznamem"/>
        <w:numPr>
          <w:ilvl w:val="0"/>
          <w:numId w:val="9"/>
        </w:numPr>
        <w:rPr>
          <w:color w:val="auto"/>
        </w:rPr>
      </w:pPr>
      <w:r w:rsidRPr="003C76EB">
        <w:rPr>
          <w:color w:val="auto"/>
        </w:rPr>
        <w:t xml:space="preserve">u informačních tabulí upozorňujících na neobvyklé místo, například kde </w:t>
      </w:r>
      <w:proofErr w:type="gramStart"/>
      <w:r w:rsidRPr="003C76EB">
        <w:rPr>
          <w:color w:val="auto"/>
        </w:rPr>
        <w:t>tramvaj  křižuje</w:t>
      </w:r>
      <w:proofErr w:type="gramEnd"/>
      <w:r w:rsidRPr="003C76EB">
        <w:rPr>
          <w:color w:val="auto"/>
        </w:rPr>
        <w:t xml:space="preserve"> jízdní pruh pro automobilovou dopravu,</w:t>
      </w:r>
    </w:p>
    <w:p w:rsidR="003C76EB" w:rsidRPr="003C76EB" w:rsidRDefault="003C76EB" w:rsidP="003C76EB">
      <w:pPr>
        <w:pStyle w:val="Odstavecseseznamem"/>
        <w:numPr>
          <w:ilvl w:val="0"/>
          <w:numId w:val="9"/>
        </w:numPr>
        <w:rPr>
          <w:color w:val="auto"/>
        </w:rPr>
      </w:pPr>
      <w:r w:rsidRPr="003C76EB">
        <w:rPr>
          <w:color w:val="auto"/>
        </w:rPr>
        <w:t>pro vyznačení tramvajové zastávky bez nástupního ostrůvku dopravní značkou č. IJ 4d u dopravně významných komunikací,</w:t>
      </w:r>
    </w:p>
    <w:p w:rsidR="003C76EB" w:rsidRPr="003C76EB" w:rsidRDefault="003C76EB" w:rsidP="003C76EB">
      <w:pPr>
        <w:pStyle w:val="Odstavecseseznamem"/>
        <w:numPr>
          <w:ilvl w:val="0"/>
          <w:numId w:val="9"/>
        </w:numPr>
        <w:rPr>
          <w:color w:val="auto"/>
        </w:rPr>
      </w:pPr>
      <w:r w:rsidRPr="003C76EB">
        <w:rPr>
          <w:color w:val="auto"/>
        </w:rPr>
        <w:t>pro vyznačení příčného zpomalovacího prahu dle TP 85,</w:t>
      </w:r>
    </w:p>
    <w:p w:rsidR="003C76EB" w:rsidRPr="003C76EB" w:rsidRDefault="003C76EB" w:rsidP="003C76EB">
      <w:pPr>
        <w:pStyle w:val="Odstavecseseznamem"/>
        <w:numPr>
          <w:ilvl w:val="0"/>
          <w:numId w:val="9"/>
        </w:numPr>
        <w:rPr>
          <w:color w:val="auto"/>
        </w:rPr>
      </w:pPr>
      <w:r w:rsidRPr="003C76EB">
        <w:rPr>
          <w:color w:val="auto"/>
        </w:rPr>
        <w:t xml:space="preserve">na silnicích I. třídy v </w:t>
      </w:r>
      <w:proofErr w:type="spellStart"/>
      <w:r w:rsidRPr="003C76EB">
        <w:rPr>
          <w:color w:val="auto"/>
        </w:rPr>
        <w:t>extravilánu</w:t>
      </w:r>
      <w:proofErr w:type="spellEnd"/>
      <w:r w:rsidRPr="003C76EB">
        <w:rPr>
          <w:color w:val="auto"/>
        </w:rPr>
        <w:t xml:space="preserve"> a před prvním SSZ při vjezdu do obce a </w:t>
      </w:r>
      <w:proofErr w:type="gramStart"/>
      <w:r w:rsidRPr="003C76EB">
        <w:rPr>
          <w:color w:val="auto"/>
        </w:rPr>
        <w:t>na  místních</w:t>
      </w:r>
      <w:proofErr w:type="gramEnd"/>
      <w:r w:rsidRPr="003C76EB">
        <w:rPr>
          <w:color w:val="auto"/>
        </w:rPr>
        <w:t xml:space="preserve"> komunikacích funkční třídy A2 ve spojení s dopravní značkou č. A 10,</w:t>
      </w:r>
    </w:p>
    <w:p w:rsidR="003C76EB" w:rsidRPr="003C76EB" w:rsidRDefault="003C76EB" w:rsidP="003C76EB">
      <w:pPr>
        <w:pStyle w:val="Odstavecseseznamem"/>
        <w:numPr>
          <w:ilvl w:val="0"/>
          <w:numId w:val="9"/>
        </w:numPr>
        <w:rPr>
          <w:color w:val="auto"/>
        </w:rPr>
      </w:pPr>
      <w:r w:rsidRPr="003C76EB">
        <w:rPr>
          <w:color w:val="auto"/>
        </w:rPr>
        <w:t>na dálnicích, SMV, silnicích I. třídy a místních komunikacích funkční třídy A ve spojení s dopravní značkou č. A 9,</w:t>
      </w:r>
    </w:p>
    <w:p w:rsidR="003C76EB" w:rsidRPr="003C76EB" w:rsidRDefault="003C76EB" w:rsidP="003C76EB">
      <w:pPr>
        <w:pStyle w:val="Odstavecseseznamem"/>
        <w:numPr>
          <w:ilvl w:val="0"/>
          <w:numId w:val="9"/>
        </w:numPr>
        <w:rPr>
          <w:color w:val="auto"/>
        </w:rPr>
      </w:pPr>
      <w:proofErr w:type="gramStart"/>
      <w:r w:rsidRPr="003C76EB">
        <w:rPr>
          <w:color w:val="auto"/>
        </w:rPr>
        <w:t>ve</w:t>
      </w:r>
      <w:proofErr w:type="gramEnd"/>
      <w:r w:rsidRPr="003C76EB">
        <w:rPr>
          <w:color w:val="auto"/>
        </w:rPr>
        <w:t xml:space="preserve"> zúžených místech silnic I. třídy a významných místních komunikacích ve spojení s dopravní značkou č. P 7,</w:t>
      </w:r>
    </w:p>
    <w:p w:rsidR="003C76EB" w:rsidRPr="003C76EB" w:rsidRDefault="003C76EB" w:rsidP="003C76EB">
      <w:pPr>
        <w:pStyle w:val="Odstavecseseznamem"/>
        <w:numPr>
          <w:ilvl w:val="0"/>
          <w:numId w:val="9"/>
        </w:numPr>
        <w:rPr>
          <w:color w:val="auto"/>
        </w:rPr>
      </w:pPr>
      <w:r w:rsidRPr="003C76EB">
        <w:rPr>
          <w:color w:val="auto"/>
        </w:rPr>
        <w:t xml:space="preserve">-   při výměně za stávající dopravní značku elektronickou (LED), s jiným </w:t>
      </w:r>
      <w:proofErr w:type="gramStart"/>
      <w:r w:rsidRPr="003C76EB">
        <w:rPr>
          <w:color w:val="auto"/>
        </w:rPr>
        <w:t>kontrastním     podkladem</w:t>
      </w:r>
      <w:proofErr w:type="gramEnd"/>
      <w:r w:rsidRPr="003C76EB">
        <w:rPr>
          <w:color w:val="auto"/>
        </w:rPr>
        <w:t>, nebo doplněnou o blikající oranžová světla, pokud trvá dopravní situace, pro kterou bylo toto značení užito.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 xml:space="preserve">Z uvedeného vyplývá, že vyžaduje-li to dopravní situace, lze umístění dopravní značky na fluorescenční žlutozelený </w:t>
      </w:r>
      <w:proofErr w:type="spellStart"/>
      <w:r w:rsidRPr="003C76EB">
        <w:rPr>
          <w:color w:val="auto"/>
        </w:rPr>
        <w:t>retroreflexní</w:t>
      </w:r>
      <w:proofErr w:type="spellEnd"/>
      <w:r w:rsidRPr="003C76EB">
        <w:rPr>
          <w:color w:val="auto"/>
        </w:rPr>
        <w:t xml:space="preserve"> podklad nebo olemování touto folií použít pro všechny značky výstražné, upravující přednost a zákazové (zejména pro značky č. B 2, B 16, B 20a, B </w:t>
      </w:r>
      <w:proofErr w:type="gramStart"/>
      <w:r w:rsidRPr="003C76EB">
        <w:rPr>
          <w:color w:val="auto"/>
        </w:rPr>
        <w:t>21a) . U příkazových</w:t>
      </w:r>
      <w:proofErr w:type="gramEnd"/>
      <w:r w:rsidRPr="003C76EB">
        <w:rPr>
          <w:color w:val="auto"/>
        </w:rPr>
        <w:t xml:space="preserve"> značek lze toto zvýraznění použít pro značky č. C 1, C 2a - f, C 3a,b, C 4a - c, u informativních značek provozních pro značky č. IP 2, IP 6, IP 7 a IP 22 a IP 24 u informativních značek směrových pro značky č. IS 11a (případně IS 11b - c), u informativních značek jiných pro značky č. IJ 4d, případně IJ 2 a IJ 3.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 xml:space="preserve">U dopravních zařízení lze doporučit zvýraznění s použitím fluorescenční fólie jako podklad vodící tabule č. Z 3, zejména při použití většího počtu zkrácených vodících tabulí obsahujících jednu šipku a u směrovací desky č. Z 4 a-c. U dopravní značky č. Z 3 a č. Z 4a-c může být podle § 26 vyhlášky č. 30/2001 bílá </w:t>
      </w:r>
      <w:proofErr w:type="gramStart"/>
      <w:r w:rsidRPr="003C76EB">
        <w:rPr>
          <w:color w:val="auto"/>
        </w:rPr>
        <w:t>barva   nahrazena</w:t>
      </w:r>
      <w:proofErr w:type="gramEnd"/>
      <w:r w:rsidRPr="003C76EB">
        <w:rPr>
          <w:color w:val="auto"/>
        </w:rPr>
        <w:t xml:space="preserve"> </w:t>
      </w:r>
      <w:proofErr w:type="spellStart"/>
      <w:r w:rsidRPr="003C76EB">
        <w:rPr>
          <w:color w:val="auto"/>
        </w:rPr>
        <w:t>retroreflexní</w:t>
      </w:r>
      <w:proofErr w:type="spellEnd"/>
      <w:r w:rsidRPr="003C76EB">
        <w:rPr>
          <w:color w:val="auto"/>
        </w:rPr>
        <w:t xml:space="preserve"> žlutozelenou fluorescenční barvou.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>Tento způsob zvýraznění je vhodný i u zařízení pro provozní informace č. I 1 - I 3, zejména jsou-li proměnné.</w:t>
      </w:r>
    </w:p>
    <w:p w:rsidR="003C76EB" w:rsidRPr="003C76EB" w:rsidRDefault="003C76EB" w:rsidP="003C76EB">
      <w:pPr>
        <w:pStyle w:val="Podtitul"/>
      </w:pPr>
      <w:r w:rsidRPr="003C76EB">
        <w:t>4.</w:t>
      </w:r>
      <w:r w:rsidR="00506AB9">
        <w:t xml:space="preserve"> </w:t>
      </w:r>
      <w:r w:rsidRPr="003C76EB">
        <w:t>Elektronické dopravní značky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lastRenderedPageBreak/>
        <w:t>Elektronická dopravní značka je dopravní značka se zvýrazněním symbolů světelnými diodami s vysokou svítivostí.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 xml:space="preserve">Dopravní značky v provedení LED lze považovat za značky proměnné, provedené tak, aby světelný symbol, i červený okraj trojúhelníku svítil současně. Provedení s pohyblivým symbolem není schváleno. Dopravní značky v provedení LED se doporučují u značek č. A 11 a </w:t>
      </w:r>
      <w:proofErr w:type="spellStart"/>
      <w:r w:rsidRPr="003C76EB">
        <w:rPr>
          <w:color w:val="auto"/>
        </w:rPr>
        <w:t>A</w:t>
      </w:r>
      <w:proofErr w:type="spellEnd"/>
      <w:r w:rsidRPr="003C76EB">
        <w:rPr>
          <w:color w:val="auto"/>
        </w:rPr>
        <w:t xml:space="preserve"> 12 s tím, že jejich aktivace může být omezena na dobu, kdy je žádoucí zdůraznit dopravní situaci, např. podle doby předpokládaného zvýšeného pohybu chodců nebo dětí (příchod a odchod dětí do školy), a to:</w:t>
      </w:r>
    </w:p>
    <w:p w:rsidR="003C76EB" w:rsidRPr="00506AB9" w:rsidRDefault="003C76EB" w:rsidP="003C76EB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ručním spínačem,</w:t>
      </w:r>
    </w:p>
    <w:p w:rsidR="003C76EB" w:rsidRPr="00506AB9" w:rsidRDefault="003C76EB" w:rsidP="003C76EB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časovým spínačem,</w:t>
      </w:r>
    </w:p>
    <w:p w:rsidR="003C76EB" w:rsidRPr="00506AB9" w:rsidRDefault="003C76EB" w:rsidP="003C76EB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fotobuňkou,</w:t>
      </w:r>
    </w:p>
    <w:p w:rsidR="003C76EB" w:rsidRPr="00506AB9" w:rsidRDefault="003C76EB" w:rsidP="00506AB9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nášlapným zařízením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>Problematiku proměnných dopravních značek budou obsahovat samostatné TP.</w:t>
      </w:r>
    </w:p>
    <w:p w:rsidR="003C76EB" w:rsidRPr="003C76EB" w:rsidRDefault="003C76EB" w:rsidP="003C76EB">
      <w:pPr>
        <w:pStyle w:val="Podtitul"/>
      </w:pPr>
      <w:r w:rsidRPr="003C76EB">
        <w:t>5. Značkovací fólie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>Reflexní značkovací fólie se užijí při dopravních opatřeních, kdy je žádoucí zvýraznit například vodící práh, vodící obrubník, vodící stěnu a podobně.</w:t>
      </w:r>
    </w:p>
    <w:p w:rsidR="003C76EB" w:rsidRPr="003C76EB" w:rsidRDefault="003C76EB" w:rsidP="00506AB9">
      <w:pPr>
        <w:pStyle w:val="Podtitul"/>
      </w:pPr>
      <w:r w:rsidRPr="00506AB9">
        <w:t xml:space="preserve"> </w:t>
      </w:r>
      <w:r w:rsidRPr="003C76EB">
        <w:t>6. Zdůraznění a zvýraznění dopravních značek podle dopravních situací</w:t>
      </w:r>
    </w:p>
    <w:p w:rsidR="003C76EB" w:rsidRPr="003C76EB" w:rsidRDefault="00506AB9" w:rsidP="003C76EB">
      <w:pPr>
        <w:rPr>
          <w:color w:val="auto"/>
        </w:rPr>
      </w:pPr>
      <w:r>
        <w:rPr>
          <w:color w:val="auto"/>
        </w:rPr>
        <w:t>Použité zkratky</w:t>
      </w:r>
      <w:r w:rsidR="003C76EB" w:rsidRPr="003C76EB">
        <w:rPr>
          <w:color w:val="auto"/>
        </w:rPr>
        <w:t>:</w:t>
      </w:r>
    </w:p>
    <w:p w:rsidR="003C76EB" w:rsidRPr="00506AB9" w:rsidRDefault="003C76EB" w:rsidP="00506AB9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zdůraznění výstražným světlem - VS,</w:t>
      </w:r>
    </w:p>
    <w:p w:rsidR="003C76EB" w:rsidRPr="00506AB9" w:rsidRDefault="003C76EB" w:rsidP="00506AB9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 xml:space="preserve">zdůraznění významu a zlepšení viditelnosti svislé dopravní značky umístěním na </w:t>
      </w:r>
      <w:proofErr w:type="spellStart"/>
      <w:r w:rsidRPr="00506AB9">
        <w:rPr>
          <w:color w:val="auto"/>
        </w:rPr>
        <w:t>retroreflexní</w:t>
      </w:r>
      <w:proofErr w:type="spellEnd"/>
      <w:r w:rsidRPr="00506AB9">
        <w:rPr>
          <w:color w:val="auto"/>
        </w:rPr>
        <w:t xml:space="preserve"> žlutozelený fluorescenční podklad - RRF,</w:t>
      </w:r>
    </w:p>
    <w:p w:rsidR="003C76EB" w:rsidRPr="00506AB9" w:rsidRDefault="003C76EB" w:rsidP="00506AB9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zdůraznění použitím elektronických dopravních značek - LED.</w:t>
      </w:r>
    </w:p>
    <w:p w:rsidR="003C76EB" w:rsidRPr="003C76EB" w:rsidRDefault="003C76EB" w:rsidP="003C76EB">
      <w:pPr>
        <w:rPr>
          <w:color w:val="auto"/>
        </w:rPr>
      </w:pPr>
      <w:r w:rsidRPr="003C76EB">
        <w:rPr>
          <w:color w:val="auto"/>
        </w:rPr>
        <w:t>Dopravní situace</w:t>
      </w:r>
      <w:r w:rsidR="00506AB9">
        <w:rPr>
          <w:color w:val="auto"/>
        </w:rPr>
        <w:t>:</w:t>
      </w:r>
    </w:p>
    <w:p w:rsidR="003C76EB" w:rsidRPr="00506AB9" w:rsidRDefault="003C76EB" w:rsidP="00506AB9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Změna dopravního režimu, místní úprava - RRF,</w:t>
      </w:r>
    </w:p>
    <w:p w:rsidR="003C76EB" w:rsidRPr="00506AB9" w:rsidRDefault="003C76EB" w:rsidP="00506AB9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Informační tabule vyznačující místa častých nehod - RRF,</w:t>
      </w:r>
    </w:p>
    <w:p w:rsidR="003C76EB" w:rsidRPr="00506AB9" w:rsidRDefault="003C76EB" w:rsidP="00506AB9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Havarijní situace na dopravně významné komunikaci - RRF,</w:t>
      </w:r>
    </w:p>
    <w:p w:rsidR="003C76EB" w:rsidRPr="00506AB9" w:rsidRDefault="003C76EB" w:rsidP="00506AB9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Dopravní situace zakončená únikovým pruhem - RRF,</w:t>
      </w:r>
    </w:p>
    <w:p w:rsidR="003C76EB" w:rsidRPr="00506AB9" w:rsidRDefault="003C76EB" w:rsidP="00506AB9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V místě snížené podjezdné výšky, zejména v případě, že jde o sníženou výšku trolejového vedení - RRF,</w:t>
      </w:r>
    </w:p>
    <w:p w:rsidR="00506AB9" w:rsidRDefault="00506AB9" w:rsidP="00286656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V místech přechodu pro chodce</w:t>
      </w:r>
      <w:r w:rsidR="003C76EB" w:rsidRPr="00506AB9">
        <w:rPr>
          <w:color w:val="auto"/>
        </w:rPr>
        <w:t>:</w:t>
      </w:r>
    </w:p>
    <w:p w:rsidR="00506AB9" w:rsidRDefault="003C76EB" w:rsidP="007C0F21">
      <w:pPr>
        <w:pStyle w:val="Odstavecseseznamem"/>
        <w:numPr>
          <w:ilvl w:val="1"/>
          <w:numId w:val="9"/>
        </w:numPr>
        <w:rPr>
          <w:color w:val="auto"/>
        </w:rPr>
      </w:pPr>
      <w:r w:rsidRPr="00506AB9">
        <w:rPr>
          <w:color w:val="auto"/>
        </w:rPr>
        <w:t xml:space="preserve">v případě trvalé dopravní situace (celodenní provoz chodců, zdravotnická </w:t>
      </w:r>
      <w:proofErr w:type="gramStart"/>
      <w:r w:rsidRPr="00506AB9">
        <w:rPr>
          <w:color w:val="auto"/>
        </w:rPr>
        <w:t>zařízení,...) - RRF</w:t>
      </w:r>
      <w:proofErr w:type="gramEnd"/>
      <w:r w:rsidRPr="00506AB9">
        <w:rPr>
          <w:color w:val="auto"/>
        </w:rPr>
        <w:t>,</w:t>
      </w:r>
    </w:p>
    <w:p w:rsidR="003C76EB" w:rsidRPr="00506AB9" w:rsidRDefault="003C76EB" w:rsidP="007C0F21">
      <w:pPr>
        <w:pStyle w:val="Odstavecseseznamem"/>
        <w:numPr>
          <w:ilvl w:val="1"/>
          <w:numId w:val="9"/>
        </w:numPr>
        <w:rPr>
          <w:color w:val="auto"/>
        </w:rPr>
      </w:pPr>
      <w:r w:rsidRPr="00506AB9">
        <w:rPr>
          <w:color w:val="auto"/>
        </w:rPr>
        <w:t>v případě omezeného trvání dopravní situace (příchod do zaměstnání, odchod, kulturní zařízení, sportovní zařízení) - LED nebo VS,</w:t>
      </w:r>
    </w:p>
    <w:p w:rsidR="003C76EB" w:rsidRPr="00506AB9" w:rsidRDefault="003C76EB" w:rsidP="00506AB9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V místech přejezdu pro cyklisty s ohledem na rozvržení intenzit a bezpečnost cyklistického provozu</w:t>
      </w:r>
      <w:r w:rsidR="00506AB9" w:rsidRPr="00506AB9">
        <w:rPr>
          <w:color w:val="auto"/>
        </w:rPr>
        <w:t>:</w:t>
      </w:r>
    </w:p>
    <w:p w:rsidR="00506AB9" w:rsidRDefault="003C76EB" w:rsidP="000622CD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omezené trvání dopravní situace (příjezd a odjezd ze zaměstnání) - VS,</w:t>
      </w:r>
    </w:p>
    <w:p w:rsidR="00506AB9" w:rsidRDefault="003C76EB" w:rsidP="00506AB9">
      <w:pPr>
        <w:pStyle w:val="Odstavecseseznamem"/>
        <w:numPr>
          <w:ilvl w:val="1"/>
          <w:numId w:val="9"/>
        </w:numPr>
        <w:rPr>
          <w:color w:val="auto"/>
        </w:rPr>
      </w:pPr>
      <w:r w:rsidRPr="00506AB9">
        <w:rPr>
          <w:color w:val="auto"/>
        </w:rPr>
        <w:t>trvalá dopravní situace (nebezpečné místo křížení s cyklistickou trasou nebo stezkou) - RRF,</w:t>
      </w:r>
    </w:p>
    <w:p w:rsidR="00506AB9" w:rsidRDefault="003C76EB" w:rsidP="00884F84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V místech výskytu dětí</w:t>
      </w:r>
      <w:r w:rsidR="00506AB9" w:rsidRPr="00506AB9">
        <w:rPr>
          <w:color w:val="auto"/>
        </w:rPr>
        <w:t>:</w:t>
      </w:r>
    </w:p>
    <w:p w:rsidR="00506AB9" w:rsidRDefault="003C76EB" w:rsidP="00AC55A9">
      <w:pPr>
        <w:pStyle w:val="Odstavecseseznamem"/>
        <w:numPr>
          <w:ilvl w:val="1"/>
          <w:numId w:val="9"/>
        </w:numPr>
        <w:rPr>
          <w:color w:val="auto"/>
        </w:rPr>
      </w:pPr>
      <w:r w:rsidRPr="00506AB9">
        <w:rPr>
          <w:color w:val="auto"/>
        </w:rPr>
        <w:t xml:space="preserve">v případě trvalé dopravní situace (školská, kulturní, tělovýchovná zařízení s celodenním provozem) </w:t>
      </w:r>
      <w:r w:rsidR="00506AB9">
        <w:rPr>
          <w:color w:val="auto"/>
        </w:rPr>
        <w:t>–</w:t>
      </w:r>
      <w:r w:rsidRPr="00506AB9">
        <w:rPr>
          <w:color w:val="auto"/>
        </w:rPr>
        <w:t xml:space="preserve"> RRF</w:t>
      </w:r>
    </w:p>
    <w:p w:rsidR="00506AB9" w:rsidRDefault="003C76EB" w:rsidP="00F87E81">
      <w:pPr>
        <w:pStyle w:val="Odstavecseseznamem"/>
        <w:numPr>
          <w:ilvl w:val="1"/>
          <w:numId w:val="9"/>
        </w:numPr>
        <w:rPr>
          <w:color w:val="auto"/>
        </w:rPr>
      </w:pPr>
      <w:r w:rsidRPr="00506AB9">
        <w:rPr>
          <w:color w:val="auto"/>
        </w:rPr>
        <w:t xml:space="preserve">v případech omezeného trvání dopravní situace (příchod a odchod dětí do školy, doba </w:t>
      </w:r>
      <w:proofErr w:type="gramStart"/>
      <w:r w:rsidRPr="00506AB9">
        <w:rPr>
          <w:color w:val="auto"/>
        </w:rPr>
        <w:t>oběda,...) - LED</w:t>
      </w:r>
      <w:proofErr w:type="gramEnd"/>
      <w:r w:rsidRPr="00506AB9">
        <w:rPr>
          <w:color w:val="auto"/>
        </w:rPr>
        <w:t xml:space="preserve"> nebo VS,</w:t>
      </w:r>
    </w:p>
    <w:p w:rsidR="00506AB9" w:rsidRDefault="003C76EB" w:rsidP="00594016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lastRenderedPageBreak/>
        <w:t>Vyznačení přechodů pro chodce na silnicích I. třídy a místních komunikacích tam, kde je místní úpravou silničního provozu povolena nejvyšší dovolená rychlost vyšší než 50 km/h - RRF,</w:t>
      </w:r>
    </w:p>
    <w:p w:rsidR="00506AB9" w:rsidRDefault="003C76EB" w:rsidP="0039437B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Informační tabule upozorňující na neobvyklé místo, například kde tramvaj křižuje jízdní pruh pro automobilovou dopravu - RRF,</w:t>
      </w:r>
    </w:p>
    <w:p w:rsidR="00506AB9" w:rsidRDefault="003C76EB" w:rsidP="00F83494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Vyznačení tramvajové zastávky bez nástupního ostrůvku dopravní značkou č. IJ 4d u dopravně významných komunikací - RRF,</w:t>
      </w:r>
    </w:p>
    <w:p w:rsidR="00506AB9" w:rsidRDefault="003C76EB" w:rsidP="00634B3A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Vyznačení příčného zpomalovacího prahu na komunikacích funkční třídy B2 a silnicích III. třídy - RRF,</w:t>
      </w:r>
    </w:p>
    <w:p w:rsidR="00506AB9" w:rsidRDefault="003C76EB" w:rsidP="00154CA0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 xml:space="preserve">Vyznačení provozu v obou směrech ve spojení se značkou č. A9 na </w:t>
      </w:r>
      <w:proofErr w:type="gramStart"/>
      <w:r w:rsidRPr="00506AB9">
        <w:rPr>
          <w:color w:val="auto"/>
        </w:rPr>
        <w:t>dálnicích,  SMV</w:t>
      </w:r>
      <w:proofErr w:type="gramEnd"/>
      <w:r w:rsidRPr="00506AB9">
        <w:rPr>
          <w:color w:val="auto"/>
        </w:rPr>
        <w:t>, silnicích I. třídy a místních komunikacích funkční třídy A - RRF,</w:t>
      </w:r>
    </w:p>
    <w:p w:rsidR="00506AB9" w:rsidRDefault="003C76EB" w:rsidP="000A1137">
      <w:pPr>
        <w:pStyle w:val="Odstavecseseznamem"/>
        <w:numPr>
          <w:ilvl w:val="0"/>
          <w:numId w:val="9"/>
        </w:numPr>
        <w:rPr>
          <w:color w:val="auto"/>
        </w:rPr>
      </w:pPr>
      <w:proofErr w:type="gramStart"/>
      <w:r w:rsidRPr="00506AB9">
        <w:rPr>
          <w:color w:val="auto"/>
        </w:rPr>
        <w:t>Ve</w:t>
      </w:r>
      <w:proofErr w:type="gramEnd"/>
      <w:r w:rsidRPr="00506AB9">
        <w:rPr>
          <w:color w:val="auto"/>
        </w:rPr>
        <w:t xml:space="preserve"> zúžených místech silnic I. třídy a významných místních komunikacích ve spojení s dopravní značkou č. P7 - RRF,</w:t>
      </w:r>
    </w:p>
    <w:p w:rsidR="00506AB9" w:rsidRDefault="003C76EB" w:rsidP="00225402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 xml:space="preserve">Na silnicích I. třídy v </w:t>
      </w:r>
      <w:proofErr w:type="spellStart"/>
      <w:r w:rsidRPr="00506AB9">
        <w:rPr>
          <w:color w:val="auto"/>
        </w:rPr>
        <w:t>extravilánu</w:t>
      </w:r>
      <w:proofErr w:type="spellEnd"/>
      <w:r w:rsidRPr="00506AB9">
        <w:rPr>
          <w:color w:val="auto"/>
        </w:rPr>
        <w:t xml:space="preserve"> a před prvním SSZ při vjezdu do obce a </w:t>
      </w:r>
      <w:proofErr w:type="gramStart"/>
      <w:r w:rsidRPr="00506AB9">
        <w:rPr>
          <w:color w:val="auto"/>
        </w:rPr>
        <w:t>na  místních</w:t>
      </w:r>
      <w:proofErr w:type="gramEnd"/>
      <w:r w:rsidRPr="00506AB9">
        <w:rPr>
          <w:color w:val="auto"/>
        </w:rPr>
        <w:t xml:space="preserve"> komunikacích funkční třídy A2 ve spojení s dopravní značkou č. A 10 - RRF nebo LED,</w:t>
      </w:r>
    </w:p>
    <w:p w:rsidR="00506AB9" w:rsidRDefault="003C76EB" w:rsidP="00BF2995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>Vyznačení možnosti vzniku náledí, nebezpečí smyku</w:t>
      </w:r>
      <w:r w:rsidR="00506AB9" w:rsidRPr="00506AB9">
        <w:rPr>
          <w:color w:val="auto"/>
        </w:rPr>
        <w:t>:</w:t>
      </w:r>
    </w:p>
    <w:p w:rsidR="00506AB9" w:rsidRDefault="003C76EB" w:rsidP="00587961">
      <w:pPr>
        <w:pStyle w:val="Odstavecseseznamem"/>
        <w:numPr>
          <w:ilvl w:val="1"/>
          <w:numId w:val="9"/>
        </w:numPr>
        <w:rPr>
          <w:color w:val="auto"/>
        </w:rPr>
      </w:pPr>
      <w:r w:rsidRPr="00506AB9">
        <w:rPr>
          <w:color w:val="auto"/>
        </w:rPr>
        <w:t>trvalé vyznačení - RRF,</w:t>
      </w:r>
    </w:p>
    <w:p w:rsidR="00506AB9" w:rsidRDefault="003C76EB" w:rsidP="00017299">
      <w:pPr>
        <w:pStyle w:val="Odstavecseseznamem"/>
        <w:numPr>
          <w:ilvl w:val="1"/>
          <w:numId w:val="9"/>
        </w:numPr>
        <w:rPr>
          <w:color w:val="auto"/>
        </w:rPr>
      </w:pPr>
      <w:r w:rsidRPr="00506AB9">
        <w:rPr>
          <w:color w:val="auto"/>
        </w:rPr>
        <w:t>při osazení čidlem - VS,</w:t>
      </w:r>
    </w:p>
    <w:p w:rsidR="003C76EB" w:rsidRPr="00506AB9" w:rsidRDefault="003C76EB" w:rsidP="00506AB9">
      <w:pPr>
        <w:pStyle w:val="Odstavecseseznamem"/>
        <w:numPr>
          <w:ilvl w:val="0"/>
          <w:numId w:val="9"/>
        </w:numPr>
        <w:rPr>
          <w:color w:val="auto"/>
        </w:rPr>
      </w:pPr>
      <w:r w:rsidRPr="00506AB9">
        <w:rPr>
          <w:color w:val="auto"/>
        </w:rPr>
        <w:t xml:space="preserve">Při výměně za stávající dopravní značku s jiným kontrastním podkladem, </w:t>
      </w:r>
      <w:proofErr w:type="gramStart"/>
      <w:r w:rsidRPr="00506AB9">
        <w:rPr>
          <w:color w:val="auto"/>
        </w:rPr>
        <w:t>nebo  doplněnou</w:t>
      </w:r>
      <w:proofErr w:type="gramEnd"/>
      <w:r w:rsidRPr="00506AB9">
        <w:rPr>
          <w:color w:val="auto"/>
        </w:rPr>
        <w:t xml:space="preserve"> o blikající oranžová světla, pokud trvá dopravní situace, pro kterou bylo toto značení užito - RRF.</w:t>
      </w:r>
    </w:p>
    <w:p w:rsidR="008E4CC4" w:rsidRPr="003C76EB" w:rsidRDefault="003C76EB" w:rsidP="003C76EB">
      <w:pPr>
        <w:rPr>
          <w:color w:val="auto"/>
        </w:rPr>
      </w:pPr>
      <w:bookmarkStart w:id="0" w:name="_GoBack"/>
      <w:bookmarkEnd w:id="0"/>
      <w:r w:rsidRPr="003C76EB">
        <w:rPr>
          <w:color w:val="auto"/>
        </w:rPr>
        <w:t xml:space="preserve">Na místech, kde je možné využít několika různých způsobů zvýraznění, se v městských podmínkách doporučuje preferovat </w:t>
      </w:r>
      <w:proofErr w:type="spellStart"/>
      <w:r w:rsidRPr="003C76EB">
        <w:rPr>
          <w:color w:val="auto"/>
        </w:rPr>
        <w:t>retroreflexní</w:t>
      </w:r>
      <w:proofErr w:type="spellEnd"/>
      <w:r w:rsidRPr="003C76EB">
        <w:rPr>
          <w:color w:val="auto"/>
        </w:rPr>
        <w:t xml:space="preserve"> fluorescenční materiál.</w:t>
      </w:r>
    </w:p>
    <w:sectPr w:rsidR="008E4CC4" w:rsidRPr="003C76EB" w:rsidSect="00031A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6E" w:rsidRDefault="00A6026E" w:rsidP="007874B1">
      <w:pPr>
        <w:spacing w:after="0" w:line="240" w:lineRule="auto"/>
      </w:pPr>
      <w:r>
        <w:separator/>
      </w:r>
    </w:p>
  </w:endnote>
  <w:endnote w:type="continuationSeparator" w:id="0">
    <w:p w:rsidR="00A6026E" w:rsidRDefault="00A6026E" w:rsidP="0078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4B1" w:rsidRDefault="00D74153" w:rsidP="007874B1">
    <w:pPr>
      <w:pStyle w:val="msoaddress"/>
      <w:widowControl w:val="0"/>
      <w:ind w:left="708" w:firstLine="708"/>
      <w:rPr>
        <w:b/>
        <w:bCs/>
        <w:color w:val="004000"/>
        <w:sz w:val="24"/>
        <w:szCs w:val="24"/>
      </w:rPr>
    </w:pPr>
    <w:r>
      <w:rPr>
        <w:rFonts w:ascii="Times New Roman" w:hAnsi="Times New Roman"/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71552" behindDoc="0" locked="0" layoutInCell="1" allowOverlap="1">
          <wp:simplePos x="0" y="0"/>
          <wp:positionH relativeFrom="column">
            <wp:posOffset>5201920</wp:posOffset>
          </wp:positionH>
          <wp:positionV relativeFrom="paragraph">
            <wp:posOffset>100965</wp:posOffset>
          </wp:positionV>
          <wp:extent cx="942975" cy="942975"/>
          <wp:effectExtent l="0" t="0" r="9525" b="9525"/>
          <wp:wrapNone/>
          <wp:docPr id="8" name="obrázek 8" descr="tsk-praha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sk-praha2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6336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170180</wp:posOffset>
          </wp:positionV>
          <wp:extent cx="762000" cy="762000"/>
          <wp:effectExtent l="0" t="0" r="0" b="0"/>
          <wp:wrapNone/>
          <wp:docPr id="4" name="obrázek 4" descr="Prah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ah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170221"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>
              <wp:simplePos x="0" y="0"/>
              <wp:positionH relativeFrom="column">
                <wp:posOffset>681355</wp:posOffset>
              </wp:positionH>
              <wp:positionV relativeFrom="paragraph">
                <wp:posOffset>-6985</wp:posOffset>
              </wp:positionV>
              <wp:extent cx="3410585" cy="2667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058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874B1" w:rsidRDefault="007874B1" w:rsidP="00D74153">
                          <w:pPr>
                            <w:pStyle w:val="msoorganizationname2"/>
                            <w:widowControl w:val="0"/>
                            <w:ind w:firstLine="708"/>
                          </w:pPr>
                          <w:r>
                            <w:t>Technická správa komunikací hl. m. Prahy</w:t>
                          </w:r>
                        </w:p>
                      </w:txbxContent>
                    </wps:txbx>
                    <wps:bodyPr rot="0" vert="horz" wrap="square" lIns="36195" tIns="36195" rIns="36195" bIns="36209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53.65pt;margin-top:-.55pt;width:268.55pt;height:2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oi9wIAAIgGAAAOAAAAZHJzL2Uyb0RvYy54bWysVduO2jAQfa/Uf7D8no0DAZJowwoCqSpt&#10;L9JuP8AkDrGa2KltNmyr/nvHDrBA+1B1y0PkscfHZ+bMDLd3+7ZBT0xpLkWKgxuCEROFLLnYpvjL&#10;Y+5FGGlDRUkbKViKn5nGd/O3b277LmEjWcumZAoBiNBJ36W4NqZLfF8XNWupvpEdE3BYSdVSA6ba&#10;+qWiPaC3jT8iZOr3UpWdkgXTGnZXwyGeO/yqYoX5VFWaGdSkGLgZ91Xuu7Fff35Lk62iXc2LAw36&#10;DyxaygU8eoJaUUPRTvHfoFpeKKllZW4K2fqyqnjBXAwQTUCuonmoacdcLJAc3Z3SpP8fbPHx6bNC&#10;vEzxBCNBW5Doke0NWso9mtjs9J1OwOmhAzezh21Q2UWqu3tZfNVIyKymYssWSsm+ZrQEdoG96Z9d&#10;HXC0Bdn0H2QJz9CdkQ5oX6nWpg6SgQAdVHo+KWOpFLA5DgMyiYBiAWej6XRGnHQ+TY63O6XNOyZb&#10;ZBcpVqC8Q6dP99pYNjQ5utjHhMx50zj1G3GxAY7DDnPlM9ymCTCBpfW0nJy0P2ISr6N1FHrhaLr2&#10;QrJaeYs8C71pHswmq/Eqy1bBT8siCJOalyUT9tFjmQXh38l4KPihQE6FpmXDSwtnKWm13WSNQk8U&#10;yjx3P6cAnLy4+Zc0XEoglquQglFIlqPYy6fRzAvzcOLFMxJ5JIiX8ZSEcbjKL0O654K9PiTUO+Vp&#10;s4UxcuilM+5XIRISkVMFXLi13MA8aXibYusyONHE1uValE5vQ3kzrM8yYqP4c0YW+YTMwnHkzWaT&#10;sReO18RbRnnmLbIA6nC9zJbrK5HXrnD065PipDmrwjO+hzdeKEPZHkvUNZ7ttaHrzH6zdx0+Ovbz&#10;RpbP0IlKQqNAu8H4hkUt1XeMehiFKdbfdlQxjJr3Arp5PA1iaD1zbqhzY3MwRiTGiIoCoFJsjsvM&#10;DPN21ym+reGlYX4IuYAJUHHXnHZUDKwgImvAuHOxHUaznafntvN6+QOZ/wIAAP//AwBQSwMEFAAG&#10;AAgAAAAhAAQVYovfAAAACQEAAA8AAABkcnMvZG93bnJldi54bWxMj0FPg0AQhe8m/ofNmHhp2l0s&#10;aSuyNFpjjDdtbc8LjEBkZ5FdCv57x5MeX+bLe9+k28m24oy9bxxpiBYKBFLhyoYqDe+Hp/kGhA+G&#10;StM6Qg3f6GGbXV6kJindSG943odKcAn5xGioQ+gSKX1RozV+4Tokvn243prAsa9k2ZuRy20rb5Ra&#10;SWsa4oXadLirsfjcD1bDNOYvJ/PwvHvslsfX2WY9k1+HQevrq+n+DkTAKfzB8KvP6pCxU+4GKr1o&#10;Oav1klEN8ygCwcAqjmMQuYZY3YLMUvn/g+wHAAD//wMAUEsBAi0AFAAGAAgAAAAhALaDOJL+AAAA&#10;4QEAABMAAAAAAAAAAAAAAAAAAAAAAFtDb250ZW50X1R5cGVzXS54bWxQSwECLQAUAAYACAAAACEA&#10;OP0h/9YAAACUAQAACwAAAAAAAAAAAAAAAAAvAQAAX3JlbHMvLnJlbHNQSwECLQAUAAYACAAAACEA&#10;wlcqIvcCAACIBgAADgAAAAAAAAAAAAAAAAAuAgAAZHJzL2Uyb0RvYy54bWxQSwECLQAUAAYACAAA&#10;ACEABBVii98AAAAJAQAADwAAAAAAAAAAAAAAAABRBQAAZHJzL2Rvd25yZXYueG1sUEsFBgAAAAAE&#10;AAQA8wAAAF0GAAAAAA==&#10;" filled="f" stroked="f" strokecolor="green" strokeweight="0" insetpen="t">
              <v:textbox inset="2.85pt,2.85pt,2.85pt,1.0058mm">
                <w:txbxContent>
                  <w:p w:rsidR="007874B1" w:rsidRDefault="007874B1" w:rsidP="00D74153">
                    <w:pPr>
                      <w:pStyle w:val="msoorganizationname2"/>
                      <w:widowControl w:val="0"/>
                      <w:ind w:firstLine="708"/>
                    </w:pPr>
                    <w:r>
                      <w:t>Technická správa komunikací hl. m. Prahy</w:t>
                    </w:r>
                  </w:p>
                </w:txbxContent>
              </v:textbox>
            </v:shape>
          </w:pict>
        </mc:Fallback>
      </mc:AlternateContent>
    </w:r>
  </w:p>
  <w:p w:rsidR="007874B1" w:rsidRDefault="00170221" w:rsidP="007874B1">
    <w:pPr>
      <w:pStyle w:val="msoaddress"/>
      <w:widowControl w:val="0"/>
      <w:ind w:left="708" w:firstLine="708"/>
      <w:rPr>
        <w:b/>
        <w:bCs/>
        <w:color w:val="004000"/>
        <w:sz w:val="24"/>
        <w:szCs w:val="24"/>
      </w:rPr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>
              <wp:simplePos x="0" y="0"/>
              <wp:positionH relativeFrom="column">
                <wp:posOffset>3119755</wp:posOffset>
              </wp:positionH>
              <wp:positionV relativeFrom="paragraph">
                <wp:posOffset>208280</wp:posOffset>
              </wp:positionV>
              <wp:extent cx="1572895" cy="666750"/>
              <wp:effectExtent l="0" t="0" r="825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874B1" w:rsidRDefault="007874B1" w:rsidP="007874B1">
                          <w:pPr>
                            <w:pStyle w:val="msoaddress"/>
                            <w:widowControl w:val="0"/>
                          </w:pPr>
                          <w:r>
                            <w:t>www.tskpraha.cz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left:0;text-align:left;margin-left:245.65pt;margin-top:16.4pt;width:123.85pt;height:52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Xo9QIAAIgGAAAOAAAAZHJzL2Uyb0RvYy54bWysVduOmzAQfa/Uf7D8zgIJAYKWrBISqkrb&#10;i7TbD3DABKtgU9tZsq367x2bJEvSPlTd5gH5Mp45M+fM5Pbu0DboiUrFBE+xf+NhRHkhSsZ3Kf7y&#10;mDsxRkoTXpJGcJriZ6rw3eLtm9u+S+hE1KIpqUTghKuk71Jca90lrquKmrZE3YiOcrishGyJhq3c&#10;uaUkPXhvG3fieaHbC1l2UhRUKThdD5d4Yf1XFS30p6pSVKMmxYBN26+03635uotbkuwk6WpWHGGQ&#10;f0DREsYh6NnVmmiC9pL95qplhRRKVPqmEK0rqooV1OYA2fjeVTYPNemozQWKo7pzmdT/c1t8fPos&#10;EStTHGHESQsUPdKDRitxQJGpTt+pBIweOjDTBzgGlm2mqrsXxVeFuMhqwnd0KaXoa0pKQOebl+7o&#10;6eBHGSfb/oMoIQzZa2EdHSrZmtJBMRB4B5aez8wYKIUJOYsm8XyGUQF3YRhGM0udS5LT604q/Y6K&#10;FplFiiUwb72Tp3ulDRqSnExMMC5y1jSW/YZfHIDhcEKtfIbXJAEksDSWBpOl9sfcm2/iTRw4wSTc&#10;OIG3XjvLPAucMPej2Xq6zrK1/9Og8IOkZmVJuQl6kpkf/B2NR8EPAjkLTYmGlcadgaTkbps1Ej0R&#10;kHluf5YBuHkxcy9h2JJALlcp+ZPAW03mTh7GkRPkwcyZR17seP58NQ+9YB6s88uU7hmnr08J9ZZ5&#10;0uxgjBx7aYT9KkXPiz3vpIALs5ZpmCcNa1NsTAYjkhhdbnhp+daENcN6VBGTxZ8rssxnXhRMYyeK&#10;ZlMnmG48ZxXnmbPMfNDhZpWtNlckb6xw1OuLYqkZqXCE9xjjBTLI9iRR23im14au04ftwXb49NTP&#10;W1E+QydKAY0C7QbjGxa1kN8x6mEUplh92xNJMWrec+jmaeib1tPjjRxvtuMN4QW4SrHGaFhmepi3&#10;+06yXQ2RhvnBxRImQMVsc5pRMaCCjMwGxp3N7TiazTwd763Vyx/I4hcAAAD//wMAUEsDBBQABgAI&#10;AAAAIQDgoknM4AAAAAoBAAAPAAAAZHJzL2Rvd25yZXYueG1sTI9BS8NAEIXvgv9hGcGb3bQpto3Z&#10;lKIE8SJYi+BtkoxJNDsbs9s0/feOJz0O8/He99LtZDs10uBbxwbmswgUcemqlmsDh9f8Zg3KB+QK&#10;O8dk4EwettnlRYpJ5U78QuM+1EpC2CdooAmhT7T2ZUMW/cz1xPL7cIPFIOdQ62rAk4TbTi+i6FZb&#10;bFkaGuzpvqHya3+0Bh7zEdvv4sxv+eEB8/fl89Pnjoy5vpp2d6ACTeEPhl99UYdMnAp35MqrzsBy&#10;M48FNRAvZIIAq3gj4woh49UadJbq/xOyHwAAAP//AwBQSwECLQAUAAYACAAAACEAtoM4kv4AAADh&#10;AQAAEwAAAAAAAAAAAAAAAAAAAAAAW0NvbnRlbnRfVHlwZXNdLnhtbFBLAQItABQABgAIAAAAIQA4&#10;/SH/1gAAAJQBAAALAAAAAAAAAAAAAAAAAC8BAABfcmVscy8ucmVsc1BLAQItABQABgAIAAAAIQAi&#10;UqXo9QIAAIgGAAAOAAAAAAAAAAAAAAAAAC4CAABkcnMvZTJvRG9jLnhtbFBLAQItABQABgAIAAAA&#10;IQDgoknM4AAAAAoBAAAPAAAAAAAAAAAAAAAAAE8FAABkcnMvZG93bnJldi54bWxQSwUGAAAAAAQA&#10;BADzAAAAXAYAAAAA&#10;" filled="f" stroked="f" strokecolor="green" strokeweight="0" insetpen="t">
              <v:textbox inset="2.85pt,2.85pt,2.85pt,2.85pt">
                <w:txbxContent>
                  <w:p w:rsidR="007874B1" w:rsidRDefault="007874B1" w:rsidP="007874B1">
                    <w:pPr>
                      <w:pStyle w:val="msoaddress"/>
                      <w:widowControl w:val="0"/>
                    </w:pPr>
                    <w:r>
                      <w:t>www.tskpraha.cz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1300480</wp:posOffset>
              </wp:positionH>
              <wp:positionV relativeFrom="paragraph">
                <wp:posOffset>27305</wp:posOffset>
              </wp:positionV>
              <wp:extent cx="1660525" cy="790575"/>
              <wp:effectExtent l="0" t="0" r="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874B1" w:rsidRDefault="007874B1" w:rsidP="007874B1">
                          <w:pPr>
                            <w:pStyle w:val="msoaddress"/>
                            <w:widowControl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Řásnovka 770/8</w:t>
                          </w:r>
                        </w:p>
                        <w:p w:rsidR="007874B1" w:rsidRDefault="007874B1" w:rsidP="007874B1">
                          <w:pPr>
                            <w:pStyle w:val="msoaddress"/>
                            <w:widowControl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110 15 Praha 1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left:0;text-align:left;margin-left:102.4pt;margin-top:2.15pt;width:130.75pt;height:62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WJ9QIAAIgGAAAOAAAAZHJzL2Uyb0RvYy54bWysVW1vmzAQ/j5p/8Hyd4pJCARUWiUkTJO6&#10;F6ndD3DABGtgM9st6ab9951N0pJuH6Z1+WDZ5nz3PPfcXS6vD12LHpjSXIoMBxcEIyZKWXGxz/CX&#10;u8JbYqQNFRVtpWAZfmQaX1+9fXM59CmbyUa2FVMInAidDn2GG2P61Pd12bCO6gvZMwEfa6k6auCo&#10;9n6l6ADeu9afERL5g1RVr2TJtIbbzfgRXzn/dc1K86muNTOozTBgM25Vbt3Z1b+6pOle0b7h5REG&#10;/QcUHeUCgj652lBD0b3iv7nqeKmklrW5KGXny7rmJXMcgE1AXrC5bWjPHBdIju6f0qT/n9vy48Nn&#10;hXiV4QgjQTuQ6I4dDFrLA4psdoZep2B024OZOcA1qOyY6v5Gll81EjJvqNizlVJyaBitAF1gX/qT&#10;p6MfbZ3shg+ygjD03kjn6FCrzqYOkoHAO6j0+KSMhVLakFFEFrMFRiV8ixOyiBcuBE1Pr3ulzTsm&#10;O2Q3GVagvPNOH260sWhoejKxwYQseNs69VtxdgGG4w1z5TO+pikgga21tJictD8SkmyX22XohbNo&#10;64Vks/FWRR56URHEi818k+eb4KdFEYRpw6uKCRv0VGZB+HcyHgt+LJCnQtOy5ZV1ZyFptd/lrUIP&#10;FMq8cL9jeiZm/jkMlxLg8oJSMAvJepZ4RbSMvbAIF14Sk6VHgmSdRCRMwk1xTumGC/Z6SmhwytN2&#10;D2Pk2EsT7C8oErIkxDUvqHVm1nED86TlXYatyWhEU1uXW1E5vQ3l7bifZMSy+HNGVsWCxOF86cXx&#10;Yu6F8y3x1ssi91Y5FGW8Xefr7QuRt65w9OuT4qSZVOEE7zHGM2RIxKlEXePZXhu7zhx2B9fh4amf&#10;d7J6hE5UEhoF2g3GN2waqb5jNMAozLD+dk8Vw6h9L6Cb51GQQOuZ6UFND7vpgYoSXGXYYDRuczPO&#10;2/te8X0Dkcb5IeQKJkDNXXPaUTGiAkb2AOPOcTuOZjtPp2dn9fwHcvULAAD//wMAUEsDBBQABgAI&#10;AAAAIQB/aNaC3gAAAAkBAAAPAAAAZHJzL2Rvd25yZXYueG1sTI9BS8NAEIXvgv9hGcGb3RhDCDGb&#10;UpQgXgRrEbxNkjGJZmdjdpu2/97xZG9veI/3vinWRzuqhWY/ODZwu4pAETeuHbgzsHurbjJQPiC3&#10;ODomAyfysC4vLwrMW3fgV1q2oVNSwj5HA30IU661b3qy6FduIhbv080Wg5xzp9sZD1JuRx1HUaot&#10;DiwLPU700FPzvd1bA0/VgsNPfeL3aveI1Ufy8vy1IWOur46be1CBjuE/DH/4gg6lMNVuz61Xo4E4&#10;SgQ9GEjuQImfpKmIWoJxloEuC33+QfkLAAD//wMAUEsBAi0AFAAGAAgAAAAhALaDOJL+AAAA4QEA&#10;ABMAAAAAAAAAAAAAAAAAAAAAAFtDb250ZW50X1R5cGVzXS54bWxQSwECLQAUAAYACAAAACEAOP0h&#10;/9YAAACUAQAACwAAAAAAAAAAAAAAAAAvAQAAX3JlbHMvLnJlbHNQSwECLQAUAAYACAAAACEAQokl&#10;ifUCAACIBgAADgAAAAAAAAAAAAAAAAAuAgAAZHJzL2Uyb0RvYy54bWxQSwECLQAUAAYACAAAACEA&#10;f2jWgt4AAAAJAQAADwAAAAAAAAAAAAAAAABPBQAAZHJzL2Rvd25yZXYueG1sUEsFBgAAAAAEAAQA&#10;8wAAAFoGAAAAAA==&#10;" filled="f" stroked="f" strokecolor="green" strokeweight="0" insetpen="t">
              <v:textbox inset="2.85pt,2.85pt,2.85pt,2.85pt">
                <w:txbxContent>
                  <w:p w:rsidR="007874B1" w:rsidRDefault="007874B1" w:rsidP="007874B1">
                    <w:pPr>
                      <w:pStyle w:val="msoaddress"/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Řásnovka 770/8</w:t>
                    </w:r>
                  </w:p>
                  <w:p w:rsidR="007874B1" w:rsidRDefault="007874B1" w:rsidP="007874B1">
                    <w:pPr>
                      <w:pStyle w:val="msoaddress"/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110 15 Praha 1 </w:t>
                    </w:r>
                  </w:p>
                </w:txbxContent>
              </v:textbox>
            </v:shape>
          </w:pict>
        </mc:Fallback>
      </mc:AlternateContent>
    </w:r>
    <w:r w:rsidR="007874B1">
      <w:rPr>
        <w:b/>
        <w:bCs/>
        <w:color w:val="004000"/>
        <w:sz w:val="24"/>
        <w:szCs w:val="24"/>
      </w:rPr>
      <w:tab/>
    </w:r>
  </w:p>
  <w:p w:rsidR="007874B1" w:rsidRPr="007874B1" w:rsidRDefault="007874B1" w:rsidP="007874B1">
    <w:pPr>
      <w:pStyle w:val="msoaddress"/>
      <w:widowControl w:val="0"/>
      <w:ind w:left="708" w:firstLine="708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6E" w:rsidRDefault="00A6026E" w:rsidP="007874B1">
      <w:pPr>
        <w:spacing w:after="0" w:line="240" w:lineRule="auto"/>
      </w:pPr>
      <w:r>
        <w:separator/>
      </w:r>
    </w:p>
  </w:footnote>
  <w:footnote w:type="continuationSeparator" w:id="0">
    <w:p w:rsidR="00A6026E" w:rsidRDefault="00A6026E" w:rsidP="0078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4B1" w:rsidRDefault="00170221">
    <w:pPr>
      <w:pStyle w:val="Zhlav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1296670</wp:posOffset>
              </wp:positionH>
              <wp:positionV relativeFrom="paragraph">
                <wp:posOffset>-135255</wp:posOffset>
              </wp:positionV>
              <wp:extent cx="4791075" cy="254635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874B1" w:rsidRDefault="007874B1" w:rsidP="007874B1">
                          <w:pPr>
                            <w:pStyle w:val="msoorganizationname"/>
                            <w:widowControl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Technická správa komunikací hl. m. Prahy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2.1pt;margin-top:-10.65pt;width:377.25pt;height:20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5d8wIAAIEGAAAOAAAAZHJzL2Uyb0RvYy54bWysVW1vmzAQ/j5p/8Hyd4pJCARUWiUkTJO6&#10;F6ndD3DABGtgM9sp6ab9951N0tJuH6Z1+WDZ5nz3PPfcXS6vj12L7pnSXIoMBxcEIyZKWXGxz/CX&#10;u8JbYqQNFRVtpWAZfmAaX1+9fXM59CmbyUa2FVMInAidDn2GG2P61Pd12bCO6gvZMwEfa6k6auCo&#10;9n6l6ADeu9afERL5g1RVr2TJtIbbzfgRXzn/dc1K86muNTOozTBgM25Vbt3Z1b+6pOle0b7h5QkG&#10;/QcUHeUCgj662lBD0UHx31x1vFRSy9pclLLzZV3zkjkOwCYgL9jcNrRnjgskR/ePadL/z2358f6z&#10;QrzK8BwjQTuQ6I4dDVrLI5rb7Ay9TsHotgczc4RrUNkx1f2NLL9qJGTeULFnK6Xk0DBaAbrAvvQn&#10;T0c/2jrZDR9kBWHowUjn6FirzqYOkoHAO6j08KiMhVLCZRgnAYkXGJXwbbYIo/nChaDp+XWvtHnH&#10;ZIfsJsMKlHfe6f2NNhYNTc8mNpiQBW9bp34rnl2A4XjDXPmMr2kKSGBrLS0mJ+2PhCTb5XYZeuEs&#10;2noh2Wy8VZGHXlQE8WIz3+T5JvhpUQRh2vCqYsIGPZdZEP6djKeCHwvksdC0bHll3VlIWu13eavQ&#10;PYUyL9zvlJ6Jmf8chksJcHlBKZiFZD1LvCJaxl5YhAsvicnSI0GyTiISJuGmeE7phgv2ekpocMrT&#10;dg9j5NRLE+wvKBKyJMQ1L6j1zKzjBuZJy7sMW5PRiKa2LreicnobyttxP8mIZfHnjKyKBYnD+dKL&#10;48XcC+db4q2XRe6t8iCK4u06X29fiLx1haNfnxQnzaQKJ3hPMZ4gQyLOJeoaz/ba2HXmuDsCcduN&#10;O1k9QAsqCR0CfQZzGzaNVN8xGmAGZlh/O1DFMGrfC2jjeRQk0HNmelDTw256oKIEVxk2GI3b3IyD&#10;9tArvm8g0jg4hFxB69fcdeUTKqBiDzDnHKnTTLaDdHp2Vk//HFe/AAAA//8DAFBLAwQUAAYACAAA&#10;ACEACnDiU+EAAAAKAQAADwAAAGRycy9kb3ducmV2LnhtbEyPQUvDQBCF74L/YRnBW7tprDbGbEpR&#10;gngpWEvB2yQ7JtHsbMxu0/Tfu570OLyP977J1pPpxEiDay0rWMwjEMSV1S3XCvZvxSwB4Tyyxs4y&#10;KTiTg3V+eZFhqu2JX2nc+VqEEnYpKmi871MpXdWQQTe3PXHIPuxg0IdzqKUe8BTKTSfjKLqTBlsO&#10;Cw329NhQ9bU7GgXPxYjtd3nmQ7F/wuJ9uX353JBS11fT5gGEp8n/wfCrH9QhD06lPbJ2olMQR8s4&#10;oApm8eIGRCDub5MViDKgSQIyz+T/F/IfAAAA//8DAFBLAQItABQABgAIAAAAIQC2gziS/gAAAOEB&#10;AAATAAAAAAAAAAAAAAAAAAAAAABbQ29udGVudF9UeXBlc10ueG1sUEsBAi0AFAAGAAgAAAAhADj9&#10;If/WAAAAlAEAAAsAAAAAAAAAAAAAAAAALwEAAF9yZWxzLy5yZWxzUEsBAi0AFAAGAAgAAAAhAPpN&#10;/l3zAgAAgQYAAA4AAAAAAAAAAAAAAAAALgIAAGRycy9lMm9Eb2MueG1sUEsBAi0AFAAGAAgAAAAh&#10;AApw4lPhAAAACgEAAA8AAAAAAAAAAAAAAAAATQUAAGRycy9kb3ducmV2LnhtbFBLBQYAAAAABAAE&#10;APMAAABbBgAAAAA=&#10;" filled="f" stroked="f" strokecolor="green" strokeweight="0" insetpen="t">
              <v:textbox inset="2.85pt,2.85pt,2.85pt,2.85pt">
                <w:txbxContent>
                  <w:p w:rsidR="007874B1" w:rsidRDefault="007874B1" w:rsidP="007874B1">
                    <w:pPr>
                      <w:pStyle w:val="msoorganizationname"/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Technická správa komunikací hl. m. Prahy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73600" behindDoc="0" locked="0" layoutInCell="1" allowOverlap="1">
              <wp:simplePos x="0" y="0"/>
              <wp:positionH relativeFrom="column">
                <wp:posOffset>1086485</wp:posOffset>
              </wp:positionH>
              <wp:positionV relativeFrom="paragraph">
                <wp:posOffset>-249555</wp:posOffset>
              </wp:positionV>
              <wp:extent cx="5073015" cy="117475"/>
              <wp:effectExtent l="0" t="0" r="0" b="0"/>
              <wp:wrapNone/>
              <wp:docPr id="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3015" cy="117475"/>
                      </a:xfrm>
                      <a:prstGeom prst="rect">
                        <a:avLst/>
                      </a:prstGeom>
                      <a:solidFill>
                        <a:srgbClr val="99CC9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E6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74153" w:rsidRDefault="00D74153" w:rsidP="00D74153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7" style="position:absolute;margin-left:85.55pt;margin-top:-19.65pt;width:399.45pt;height:9.2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fQ/wIAAFEGAAAOAAAAZHJzL2Uyb0RvYy54bWysVU2P0zAQvSPxHyzfs0nafDTRpqs22yKk&#10;BVYsiLObOI1FYgfbbbqL+O+MnfQLLgi4RB57PJ73Zt7k9u7QNmhPpWKCZ9i/8TCivBAl49sMf/60&#10;dmYYKU14SRrBaYafqcJ389evbvsupRNRi6akEkEQrtK+y3CtdZe6ripq2hJ1IzrK4bASsiUaTLl1&#10;S0l6iN427sTzIrcXsuykKKhSsHs/HOK5jV9VtNAfqkpRjZoMQ27afqX9bszXnd+SdCtJV7NiTIP8&#10;RRYtYRwePYW6J5qgnWS/hWpZIYUSlb4pROuKqmIFtRgAje/9guapJh21WIAc1Z1oUv8vbPF+/ygR&#10;KzOcYMRJCyX6CKQRvm0o8i0/fadScHvqHqVBqLoHUXxViIu8Bje6kFL0NSUlZOUbPt2rC8ZQcBVt&#10;+neihPBkp4Wl6lDJ1gQEEtDBVuT5VBF60KiAzdCLp54fYlTAme/HQRzaJ0h6vN1Jpd9Q0SKzyLCE&#10;5G10sn9Q2mRD0qOLzV40rFyzprGG3G7yRqI9ge5IkjxPkjG6unRruHHmwlwbIg471PbX8AxJIWVY&#10;Gk+TvK3998SfBN5ykjjraBY7wToInST2Zo7nJ8sk8oIkuF//MOn6QVqzsqT8gXF67EM/+LM6j4oY&#10;Osh2IuoBTzgB3kizBV2OzXmFSl2C97yZ59lqA19Xbi3TINCGtRk2LoMTSU3BV7y08tGENcPavQZi&#10;2Qc2rklZrKGqwXTmxHE4dYLpynOWs3XuLHI/iuLVMl+u/GtSVpZo9e+82ESOVTOG2AG6p7rsUclM&#10;+0zDZOJjMGBETOIB78hhoSVGUugvTNdWmKZZTYwrIvN8FeX52EWn6AMR54cveBqxnamCAhxbySrJ&#10;iMeMM5Xqw+ZgpWplZnY2onwGaUFWVj8wh2FRC/mCUQ8zLcPq245IilHzloM8p1EYRzAELw15aWwu&#10;DcILCJVhDV1kl7keBueuk2xbw0u+xc/FAiRdMau2c1aAyBgwtyy2ccaawXhpW6/zn2D+EwAA//8D&#10;AFBLAwQUAAYACAAAACEA5Xxp9N4AAAALAQAADwAAAGRycy9kb3ducmV2LnhtbEyPwU7DMBBE70j8&#10;g7VI3Fo7LSJtiFOhSgjBjQISx21skoh4HcVOYv6e5QTHmX2anSkPyfVitmPoPGnI1gqEpdqbjhoN&#10;b68Pqx2IEJEM9p6shm8b4FBdXpRYGL/Qi51PsREcQqFADW2MQyFlqFvrMKz9YIlvn350GFmOjTQj&#10;LhzuerlR6lY67Ig/tDjYY2vrr9PkNCT5NOHjx3LEG8LnMNd5es9yra+v0v0diGhT/IPhtz5Xh4o7&#10;nf1EJoiedZ5ljGpYbfdbEEzsc8Xrzuxs1A5kVcr/G6ofAAAA//8DAFBLAQItABQABgAIAAAAIQC2&#10;gziS/gAAAOEBAAATAAAAAAAAAAAAAAAAAAAAAABbQ29udGVudF9UeXBlc10ueG1sUEsBAi0AFAAG&#10;AAgAAAAhADj9If/WAAAAlAEAAAsAAAAAAAAAAAAAAAAALwEAAF9yZWxzLy5yZWxzUEsBAi0AFAAG&#10;AAgAAAAhAFzoF9D/AgAAUQYAAA4AAAAAAAAAAAAAAAAALgIAAGRycy9lMm9Eb2MueG1sUEsBAi0A&#10;FAAGAAgAAAAhAOV8afTeAAAACwEAAA8AAAAAAAAAAAAAAAAAWQUAAGRycy9kb3ducmV2LnhtbFBL&#10;BQYAAAAABAAEAPMAAABkBgAAAAA=&#10;" fillcolor="#9c9" stroked="f" strokecolor="green" insetpen="t">
              <v:shadow color="#cce6cc"/>
              <v:textbox inset="2.88pt,2.88pt,2.88pt,2.88pt">
                <w:txbxContent>
                  <w:p w:rsidR="00D74153" w:rsidRDefault="00D74153" w:rsidP="00D74153"/>
                </w:txbxContent>
              </v:textbox>
            </v:rect>
          </w:pict>
        </mc:Fallback>
      </mc:AlternateContent>
    </w:r>
    <w:r w:rsidR="007874B1">
      <w:rPr>
        <w:rFonts w:ascii="Times New Roman" w:hAnsi="Times New Roman"/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-450850</wp:posOffset>
          </wp:positionH>
          <wp:positionV relativeFrom="paragraph">
            <wp:posOffset>-329565</wp:posOffset>
          </wp:positionV>
          <wp:extent cx="1416050" cy="952500"/>
          <wp:effectExtent l="0" t="0" r="0" b="0"/>
          <wp:wrapNone/>
          <wp:docPr id="2" name="obrázek 3" descr="ts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sk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7874B1" w:rsidRDefault="007874B1" w:rsidP="007874B1">
    <w:pPr>
      <w:pStyle w:val="msotagline"/>
      <w:widowControl w:val="0"/>
      <w:ind w:left="1416" w:firstLine="708"/>
      <w:jc w:val="left"/>
      <w:rPr>
        <w:b/>
        <w:bCs/>
        <w:sz w:val="36"/>
        <w:szCs w:val="36"/>
      </w:rPr>
    </w:pPr>
    <w:r>
      <w:rPr>
        <w:b/>
        <w:bCs/>
        <w:sz w:val="36"/>
        <w:szCs w:val="36"/>
      </w:rPr>
      <w:t>… aby se Vám lépe jelo!</w:t>
    </w:r>
  </w:p>
  <w:p w:rsidR="007874B1" w:rsidRDefault="007874B1" w:rsidP="007874B1">
    <w:pPr>
      <w:pStyle w:val="msotagline"/>
      <w:widowControl w:val="0"/>
      <w:jc w:val="left"/>
      <w:rPr>
        <w:sz w:val="20"/>
        <w:szCs w:val="20"/>
      </w:rPr>
    </w:pPr>
    <w:r>
      <w:rPr>
        <w:sz w:val="20"/>
        <w:szCs w:val="20"/>
      </w:rPr>
      <w:t> </w:t>
    </w:r>
  </w:p>
  <w:p w:rsidR="00BF703D" w:rsidRDefault="007874B1" w:rsidP="003C76EB">
    <w:pPr>
      <w:pStyle w:val="msotagline"/>
      <w:widowControl w:val="0"/>
      <w:pBdr>
        <w:bottom w:val="single" w:sz="12" w:space="1" w:color="auto"/>
      </w:pBdr>
      <w:jc w:val="left"/>
      <w:rPr>
        <w:sz w:val="10"/>
        <w:szCs w:val="10"/>
      </w:rPr>
    </w:pPr>
    <w:r>
      <w:rPr>
        <w:rFonts w:ascii="Arial" w:hAnsi="Arial" w:cs="Arial"/>
        <w:b/>
        <w:bCs/>
        <w:color w:val="004000"/>
        <w:sz w:val="48"/>
        <w:szCs w:val="48"/>
      </w:rPr>
      <w:t xml:space="preserve">              </w:t>
    </w:r>
  </w:p>
  <w:p w:rsidR="00BF703D" w:rsidRDefault="00BF703D" w:rsidP="007874B1">
    <w:pPr>
      <w:pStyle w:val="msotagline"/>
      <w:widowControl w:val="0"/>
      <w:ind w:left="1416"/>
      <w:jc w:val="left"/>
      <w:rPr>
        <w:sz w:val="10"/>
        <w:szCs w:val="10"/>
      </w:rPr>
    </w:pPr>
  </w:p>
  <w:p w:rsidR="00BF703D" w:rsidRPr="007874B1" w:rsidRDefault="00BF703D" w:rsidP="007874B1">
    <w:pPr>
      <w:pStyle w:val="msotagline"/>
      <w:widowControl w:val="0"/>
      <w:ind w:left="1416"/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24D7C"/>
    <w:multiLevelType w:val="hybridMultilevel"/>
    <w:tmpl w:val="A2CC1D78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0E65"/>
    <w:multiLevelType w:val="hybridMultilevel"/>
    <w:tmpl w:val="C6286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35D84"/>
    <w:multiLevelType w:val="hybridMultilevel"/>
    <w:tmpl w:val="C34CE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E3B2E"/>
    <w:multiLevelType w:val="hybridMultilevel"/>
    <w:tmpl w:val="D2C440C4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15A22"/>
    <w:multiLevelType w:val="hybridMultilevel"/>
    <w:tmpl w:val="012A1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B07C7"/>
    <w:multiLevelType w:val="hybridMultilevel"/>
    <w:tmpl w:val="0F82333E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950FB"/>
    <w:multiLevelType w:val="hybridMultilevel"/>
    <w:tmpl w:val="E6526216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860D4"/>
    <w:multiLevelType w:val="hybridMultilevel"/>
    <w:tmpl w:val="C66CD0CC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40442"/>
    <w:multiLevelType w:val="hybridMultilevel"/>
    <w:tmpl w:val="2AB49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A225F"/>
    <w:multiLevelType w:val="hybridMultilevel"/>
    <w:tmpl w:val="C252417C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C12F5"/>
    <w:multiLevelType w:val="hybridMultilevel"/>
    <w:tmpl w:val="C4EC0DBA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B0B8E"/>
    <w:multiLevelType w:val="hybridMultilevel"/>
    <w:tmpl w:val="0CB84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#cce6cc" stroke="f" strokecolor="green">
      <v:fill color="#cce6cc"/>
      <v:stroke color="green" insetpen="t" on="f"/>
      <v:shadow color="#cce6cc"/>
      <v:textbox inset="2.88pt,2.88pt,2.88pt,2.8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B1"/>
    <w:rsid w:val="00031A4A"/>
    <w:rsid w:val="00064893"/>
    <w:rsid w:val="00170221"/>
    <w:rsid w:val="00170467"/>
    <w:rsid w:val="001B5F55"/>
    <w:rsid w:val="001C3557"/>
    <w:rsid w:val="001C5170"/>
    <w:rsid w:val="001D5CCF"/>
    <w:rsid w:val="001F38E6"/>
    <w:rsid w:val="002D3904"/>
    <w:rsid w:val="002F3478"/>
    <w:rsid w:val="00323CE8"/>
    <w:rsid w:val="00333380"/>
    <w:rsid w:val="00384677"/>
    <w:rsid w:val="003A4754"/>
    <w:rsid w:val="003B25A4"/>
    <w:rsid w:val="003C76EB"/>
    <w:rsid w:val="004566C6"/>
    <w:rsid w:val="0046488A"/>
    <w:rsid w:val="004C02B6"/>
    <w:rsid w:val="004C0980"/>
    <w:rsid w:val="004C21E3"/>
    <w:rsid w:val="004E1399"/>
    <w:rsid w:val="00506AB9"/>
    <w:rsid w:val="00530CD2"/>
    <w:rsid w:val="005A5537"/>
    <w:rsid w:val="005B04DE"/>
    <w:rsid w:val="006669DB"/>
    <w:rsid w:val="0068506C"/>
    <w:rsid w:val="006A2F94"/>
    <w:rsid w:val="006C0170"/>
    <w:rsid w:val="006E5AF9"/>
    <w:rsid w:val="007403A6"/>
    <w:rsid w:val="00781285"/>
    <w:rsid w:val="007874B1"/>
    <w:rsid w:val="00861623"/>
    <w:rsid w:val="008B331A"/>
    <w:rsid w:val="008E4CC4"/>
    <w:rsid w:val="00A6026E"/>
    <w:rsid w:val="00AA337B"/>
    <w:rsid w:val="00B67546"/>
    <w:rsid w:val="00B94883"/>
    <w:rsid w:val="00B94E6D"/>
    <w:rsid w:val="00BA652C"/>
    <w:rsid w:val="00BB35FB"/>
    <w:rsid w:val="00BB7477"/>
    <w:rsid w:val="00BF703D"/>
    <w:rsid w:val="00C015D8"/>
    <w:rsid w:val="00C662EA"/>
    <w:rsid w:val="00D666BB"/>
    <w:rsid w:val="00D73628"/>
    <w:rsid w:val="00D74153"/>
    <w:rsid w:val="00DC26B3"/>
    <w:rsid w:val="00E42DA6"/>
    <w:rsid w:val="00EC70F6"/>
    <w:rsid w:val="00EF1F73"/>
    <w:rsid w:val="00F1165D"/>
    <w:rsid w:val="00F20121"/>
    <w:rsid w:val="00F467B6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cce6cc" stroke="f" strokecolor="green">
      <v:fill color="#cce6cc"/>
      <v:stroke color="green" insetpen="t" on="f"/>
      <v:shadow color="#cce6cc"/>
      <v:textbox inset="2.88pt,2.88pt,2.88pt,2.88pt"/>
    </o:shapedefaults>
    <o:shapelayout v:ext="edit">
      <o:idmap v:ext="edit" data="1"/>
    </o:shapelayout>
  </w:shapeDefaults>
  <w:decimalSymbol w:val=","/>
  <w:listSeparator w:val=";"/>
  <w15:docId w15:val="{19457C01-BE84-4CCF-931C-A95E9228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4B1"/>
    <w:pPr>
      <w:spacing w:after="120" w:line="285" w:lineRule="auto"/>
    </w:pPr>
    <w:rPr>
      <w:rFonts w:ascii="Calibri" w:eastAsia="Times New Roman" w:hAnsi="Calibri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tagline">
    <w:name w:val="msotagline"/>
    <w:rsid w:val="007874B1"/>
    <w:pPr>
      <w:spacing w:after="0" w:line="268" w:lineRule="auto"/>
      <w:jc w:val="center"/>
    </w:pPr>
    <w:rPr>
      <w:rFonts w:ascii="Gill Sans MT" w:eastAsia="Times New Roman" w:hAnsi="Gill Sans MT" w:cs="Times New Roman"/>
      <w:color w:val="008000"/>
      <w:kern w:val="28"/>
      <w:sz w:val="23"/>
      <w:szCs w:val="23"/>
      <w:lang w:eastAsia="cs-CZ"/>
      <w14:ligatures w14:val="standard"/>
      <w14:cntxtAlts/>
    </w:rPr>
  </w:style>
  <w:style w:type="paragraph" w:styleId="Zhlav">
    <w:name w:val="header"/>
    <w:basedOn w:val="Normln"/>
    <w:link w:val="ZhlavChar"/>
    <w:uiPriority w:val="99"/>
    <w:unhideWhenUsed/>
    <w:rsid w:val="0078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4B1"/>
    <w:rPr>
      <w:rFonts w:ascii="Calibri" w:eastAsia="Times New Roman" w:hAnsi="Calibri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Zpat">
    <w:name w:val="footer"/>
    <w:basedOn w:val="Normln"/>
    <w:link w:val="ZpatChar"/>
    <w:uiPriority w:val="99"/>
    <w:unhideWhenUsed/>
    <w:rsid w:val="0078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4B1"/>
    <w:rPr>
      <w:rFonts w:ascii="Calibri" w:eastAsia="Times New Roman" w:hAnsi="Calibri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4B1"/>
    <w:rPr>
      <w:rFonts w:ascii="Tahoma" w:eastAsia="Times New Roman" w:hAnsi="Tahoma" w:cs="Tahoma"/>
      <w:color w:val="008000"/>
      <w:kern w:val="28"/>
      <w:sz w:val="16"/>
      <w:szCs w:val="16"/>
      <w:lang w:eastAsia="cs-CZ"/>
      <w14:ligatures w14:val="standard"/>
      <w14:cntxtAlts/>
    </w:rPr>
  </w:style>
  <w:style w:type="paragraph" w:customStyle="1" w:styleId="msoorganizationname">
    <w:name w:val="msoorganizationname"/>
    <w:rsid w:val="007874B1"/>
    <w:pPr>
      <w:spacing w:after="0" w:line="309" w:lineRule="auto"/>
    </w:pPr>
    <w:rPr>
      <w:rFonts w:ascii="Gill Sans MT" w:eastAsia="Times New Roman" w:hAnsi="Gill Sans MT" w:cs="Times New Roman"/>
      <w:b/>
      <w:bCs/>
      <w:caps/>
      <w:color w:val="339933"/>
      <w:spacing w:val="25"/>
      <w:kern w:val="28"/>
      <w:sz w:val="20"/>
      <w:szCs w:val="20"/>
      <w:lang w:eastAsia="cs-CZ"/>
      <w14:ligatures w14:val="standard"/>
      <w14:cntxtAlts/>
    </w:rPr>
  </w:style>
  <w:style w:type="paragraph" w:customStyle="1" w:styleId="msoaddress">
    <w:name w:val="msoaddress"/>
    <w:rsid w:val="007874B1"/>
    <w:pPr>
      <w:spacing w:after="0" w:line="312" w:lineRule="auto"/>
    </w:pPr>
    <w:rPr>
      <w:rFonts w:ascii="Gill Sans MT" w:eastAsia="Times New Roman" w:hAnsi="Gill Sans MT" w:cs="Times New Roman"/>
      <w:color w:val="008000"/>
      <w:kern w:val="28"/>
      <w:sz w:val="15"/>
      <w:szCs w:val="15"/>
      <w:lang w:eastAsia="cs-CZ"/>
      <w14:ligatures w14:val="standard"/>
      <w14:cntxtAlts/>
    </w:rPr>
  </w:style>
  <w:style w:type="paragraph" w:customStyle="1" w:styleId="msoorganizationname2">
    <w:name w:val="msoorganizationname2"/>
    <w:rsid w:val="007874B1"/>
    <w:pPr>
      <w:spacing w:after="0" w:line="307" w:lineRule="auto"/>
    </w:pPr>
    <w:rPr>
      <w:rFonts w:ascii="Gill Sans MT" w:eastAsia="Times New Roman" w:hAnsi="Gill Sans MT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Odstavecseseznamem">
    <w:name w:val="List Paragraph"/>
    <w:basedOn w:val="Normln"/>
    <w:uiPriority w:val="34"/>
    <w:qFormat/>
    <w:rsid w:val="00EC70F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C76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76E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standard"/>
      <w14:cntxtAlts/>
    </w:rPr>
  </w:style>
  <w:style w:type="paragraph" w:styleId="Podtitul">
    <w:name w:val="Subtitle"/>
    <w:basedOn w:val="Normln"/>
    <w:next w:val="Normln"/>
    <w:link w:val="PodtitulChar"/>
    <w:uiPriority w:val="11"/>
    <w:qFormat/>
    <w:rsid w:val="003C76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3C76EB"/>
    <w:rPr>
      <w:rFonts w:eastAsiaTheme="minorEastAsia"/>
      <w:color w:val="5A5A5A" w:themeColor="text1" w:themeTint="A5"/>
      <w:spacing w:val="15"/>
      <w:kern w:val="28"/>
      <w:lang w:eastAsia="cs-C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CCE6CC"/>
        </a:solidFill>
        <a:ln>
          <a:noFill/>
        </a:ln>
        <a:effectLst/>
        <a:extLst>
          <a:ext uri="{91240B29-F687-4F45-9708-019B960494DF}">
            <a14:hiddenLine xmlns:a14="http://schemas.microsoft.com/office/drawing/2010/main" w="9525" algn="in">
              <a:solidFill>
                <a:srgbClr val="008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CCE6CC"/>
                </a:outerShdw>
              </a:effectLst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1795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Lišková</dc:creator>
  <cp:lastModifiedBy>Jakub Štěpánek</cp:lastModifiedBy>
  <cp:revision>2</cp:revision>
  <dcterms:created xsi:type="dcterms:W3CDTF">2014-03-10T18:01:00Z</dcterms:created>
  <dcterms:modified xsi:type="dcterms:W3CDTF">2014-03-10T18:01:00Z</dcterms:modified>
</cp:coreProperties>
</file>