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7" w:rsidRDefault="00A81637" w:rsidP="00A81637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Dopravní nehodovost v Praze v roce 2005 - Celkový vývoj dopravní nehodovosti v roce 2005</w:t>
      </w:r>
    </w:p>
    <w:p w:rsidR="00A81637" w:rsidRDefault="00A81637" w:rsidP="00A81637">
      <w:pPr>
        <w:pStyle w:val="Normlnweb"/>
      </w:pPr>
      <w:r>
        <w:t xml:space="preserve">Bezpečnost dopravy je vážným dopravním i společenským problémem, který nabývá na důležitosti se vzrůstající motorizací i intenzitou automobilové dopravy. Ústav dopravního inženýrství hlavního města Prahy (ÚDI) se jako specializovaná dopravně inženýrská organizace zabývá dopravní nehodovostí v Praze především z hlediska vlivu komunikace a dopravních poměrů na příčiny, výskyt a četnost dopravních nehod, </w:t>
      </w:r>
      <w:r>
        <w:t>a to ve dvou základních směrech</w:t>
      </w:r>
      <w:bookmarkStart w:id="0" w:name="_GoBack"/>
      <w:bookmarkEnd w:id="0"/>
      <w:r>
        <w:t>:</w:t>
      </w:r>
    </w:p>
    <w:p w:rsidR="00A81637" w:rsidRDefault="00A81637" w:rsidP="00A8163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analýza celkového vývoje dopravní nehodovosti, jejích příčin a trendů</w:t>
      </w:r>
    </w:p>
    <w:p w:rsidR="00A81637" w:rsidRDefault="00A81637" w:rsidP="00A8163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zjišťování výrazně nehodových míst (s vysokou kumulací dopravních nehod), analýza dopravních nehod na nich a navrhování konkrétních dopravně inženýrských opatření, která by měla napomoci vznik nehod na daných místech snížit.</w:t>
      </w:r>
    </w:p>
    <w:p w:rsidR="00A81637" w:rsidRDefault="00A81637" w:rsidP="00A81637">
      <w:pPr>
        <w:pStyle w:val="Normlnweb"/>
      </w:pPr>
      <w:r>
        <w:t>Veškerá data o dopravních nehodách jako podklad pro další práci přebírá ÚDI z oficiálních statistických údajů Policejního prezidia ČR.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 xml:space="preserve">Základní trend nehodovosti v roce 2005 : </w:t>
      </w:r>
      <w:r>
        <w:t>nárůst počtu nehod ve srovnání s předcházejícím rokem, nárůst počtu usmrcených osob, pokles počtu těžce i lehce zraněných osob, úbytek počtu nehod se zraněním a nárůst nehod pouze s hmotnou škodou.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 xml:space="preserve">V roce 2005 došlo v Praze k 33 349 nehodám </w:t>
      </w:r>
      <w:r>
        <w:t xml:space="preserve">(+ 13 % oproti roku 2004), 61 osob bylo usmrceno (+ 9 %) a 2 996 osob bylo </w:t>
      </w:r>
      <w:proofErr w:type="gramStart"/>
      <w:r>
        <w:t>zraněno</w:t>
      </w:r>
      <w:r>
        <w:t xml:space="preserve"> </w:t>
      </w:r>
      <w:r>
        <w:t>( -20</w:t>
      </w:r>
      <w:proofErr w:type="gramEnd"/>
      <w:r>
        <w:t> %).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>S účastí chodců došlo k 742 nehodám</w:t>
      </w:r>
      <w:r>
        <w:t xml:space="preserve"> (- 10 %), 35 osob bylo usmrceno (+ 35 %) a 711 osob bylo zraněno (- 15 %). </w:t>
      </w:r>
      <w:r>
        <w:rPr>
          <w:rStyle w:val="Siln"/>
          <w:u w:val="single"/>
        </w:rPr>
        <w:t>Chodci sami zavinili 352 nehod</w:t>
      </w:r>
      <w:r>
        <w:t xml:space="preserve"> (- 8 %), přičemž bylo usmrceno 17 osob (+ 42 %) a 330 osob bylo zraněno (- 16 %).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>Rozhodující podíl nehod zavinili řidiči</w:t>
      </w:r>
      <w:r>
        <w:t xml:space="preserve"> (32 494 z 33 349 nehod, </w:t>
      </w:r>
      <w:proofErr w:type="gramStart"/>
      <w:r>
        <w:t>t.j. 97</w:t>
      </w:r>
      <w:proofErr w:type="gramEnd"/>
      <w:r>
        <w:t xml:space="preserve"> %). Hlavními příčinami nehod zaviněných řidiči jsou nesprávný způsob jízdy, nedání přednosti v jízdě a nepřiměřená rychlost jízdy.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>Počet nehod, při kterých byl u viníka zjištěn alkohol, byl 748</w:t>
      </w:r>
      <w:r>
        <w:t xml:space="preserve"> (- 9 %). Oproti roku 2004 poklesl počet viníků chodců (- 26 %) i počet viníků řidičů (- 9 %).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V roce 2005 se zvýšil počet nehod na sledované síti (+ 13 %), výrazně pak na nesledované síti (+ 16 %); na účelových komunikacích se počet nehod nepatrně snížil (- 1 %).</w:t>
      </w:r>
    </w:p>
    <w:p w:rsidR="00A81637" w:rsidRDefault="00A81637" w:rsidP="00A8163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Vzhledem k počasí v roce 2005 vzrostl počet nehod za mokra (+ 23 %) a z toho vzrostl počet nehod na sněhu a náledí (+ 30 %). Nehody </w:t>
      </w:r>
      <w:r>
        <w:t>za mokra jsou závislé na počasí</w:t>
      </w:r>
      <w:r>
        <w:t>:</w:t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34050" cy="1028700"/>
            <wp:effectExtent l="0" t="0" r="0" b="0"/>
            <wp:docPr id="25" name="Obrázek 25" descr="http://www.tsk-praha.cz/wps/wcm/connect/d7bba6804452adff9306bb18189c0fa9/1/image4139623586757023404.jpg?MOD=AJPERES&amp;CACHEID=d7bba6804452adff9306bb18189c0fa9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sk-praha.cz/wps/wcm/connect/d7bba6804452adff9306bb18189c0fa9/1/image4139623586757023404.jpg?MOD=AJPERES&amp;CACHEID=d7bba6804452adff9306bb18189c0fa9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Uvedená čísla potvrzují obecně známou skutečnost, že míra nehodového rizika za mokra je vyšší než za sucha (všeobecně snížená adheze - i na vozovkách s kvalitním protismykovým krytem, menší pozornost řidičů, horší výhled z vozidla - stěrače, mokré přední sklo), a že se tudíž průběh počasí může podílet na četnosti výskytu nehod v daném období.</w:t>
      </w:r>
    </w:p>
    <w:p w:rsidR="00A81637" w:rsidRDefault="00A81637" w:rsidP="00A81637">
      <w:pPr>
        <w:pStyle w:val="Normlnweb"/>
      </w:pPr>
      <w:r>
        <w:lastRenderedPageBreak/>
        <w:t> </w:t>
      </w:r>
    </w:p>
    <w:p w:rsidR="00A81637" w:rsidRDefault="00A81637" w:rsidP="00A81637">
      <w:pPr>
        <w:pStyle w:val="Normlnweb"/>
      </w:pPr>
      <w:r>
        <w:t>Tab. 1. Nehody a následky na zdraví celkem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829300" cy="2076450"/>
            <wp:effectExtent l="0" t="0" r="0" b="0"/>
            <wp:docPr id="24" name="Obrázek 24" descr="http://www.tsk-praha.cz/wps/wcm/connect/d7bba6804452adff9306bb18189c0fa9/2/image6976761901379729429.jpg?MOD=AJPERES&amp;CACHEID=d7bba6804452adff9306bb18189c0fa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sk-praha.cz/wps/wcm/connect/d7bba6804452adff9306bb18189c0fa9/2/image6976761901379729429.jpg?MOD=AJPERES&amp;CACHEID=d7bba6804452adff9306bb18189c0fa9/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SZ = smrtelná zranění</w:t>
      </w:r>
      <w:r>
        <w:br/>
        <w:t>TZ = těžká zranění</w:t>
      </w:r>
      <w:r>
        <w:br/>
        <w:t>LZ = lehká zranění</w:t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Tab. 2. Hlavní příčiny nehod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34050" cy="3079750"/>
            <wp:effectExtent l="0" t="0" r="0" b="6350"/>
            <wp:docPr id="23" name="Obrázek 23" descr="http://www.tsk-praha.cz/wps/wcm/connect/d7bba6804452adff9306bb18189c0fa9/3/image5376482849241566614.jpg?MOD=AJPERES&amp;CACHEID=d7bba6804452adff9306bb18189c0fa9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sk-praha.cz/wps/wcm/connect/d7bba6804452adff9306bb18189c0fa9/3/image5376482849241566614.jpg?MOD=AJPERES&amp;CACHEID=d7bba6804452adff9306bb18189c0fa9/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rPr>
          <w:rStyle w:val="Zdraznn"/>
        </w:rPr>
        <w:t xml:space="preserve">* = v položce "nepřiměřená rychlost" jsou kromě příčiny "překročení dovolené rychlosti" evidovány nehody zapříčiněné nepřizpůsobením rychlosti hustotě provozu, viditelnosti, </w:t>
      </w:r>
      <w:r>
        <w:rPr>
          <w:rStyle w:val="Zdraznn"/>
        </w:rPr>
        <w:lastRenderedPageBreak/>
        <w:t>vlastnostem vozidla a nákladu, stavu vozovky, dopravně technickému stavu vozovky, bočnímu nebo nárazovému větru a jiný druh nepřiměřené rychlosti</w:t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Z uvedených čísel je patrné, že v položce nehod zapříčiněných nepřiměřenou rychlostí tvoří nehody zapříčiněné překročením dovolené rychlosti jen velmi malý podíl (4,3 %).</w:t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Tab. 3. Nehody chodců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65800" cy="2895600"/>
            <wp:effectExtent l="0" t="0" r="6350" b="0"/>
            <wp:docPr id="22" name="Obrázek 22" descr="http://www.tsk-praha.cz/wps/wcm/connect/d7bba6804452adff9306bb18189c0fa9/4/image2611554837736820997.jpg?MOD=AJPERES&amp;CACHEID=d7bba6804452adff9306bb18189c0fa9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sk-praha.cz/wps/wcm/connect/d7bba6804452adff9306bb18189c0fa9/4/image2611554837736820997.jpg?MOD=AJPERES&amp;CACHEID=d7bba6804452adff9306bb18189c0fa9/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SZ = smrtelná zranění</w:t>
      </w:r>
      <w:r>
        <w:br/>
        <w:t>TZ = těžká zranění</w:t>
      </w:r>
      <w:r>
        <w:br/>
        <w:t>LZ = lehká zranění</w:t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Tab. 4. Nehody cyklistů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46750" cy="1276350"/>
            <wp:effectExtent l="0" t="0" r="6350" b="0"/>
            <wp:docPr id="21" name="Obrázek 21" descr="http://www.tsk-praha.cz/wps/wcm/connect/d7bba6804452adff9306bb18189c0fa9/5/image5204379920933776391.jpg?MOD=AJPERES&amp;CACHEID=d7bba6804452adff9306bb18189c0fa9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sk-praha.cz/wps/wcm/connect/d7bba6804452adff9306bb18189c0fa9/5/image5204379920933776391.jpg?MOD=AJPERES&amp;CACHEID=d7bba6804452adff9306bb18189c0fa9/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lastRenderedPageBreak/>
        <w:t>Tab. 5. Alkohol zjištěn u viníka nehody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27700" cy="1250950"/>
            <wp:effectExtent l="0" t="0" r="6350" b="6350"/>
            <wp:docPr id="20" name="Obrázek 20" descr="http://www.tsk-praha.cz/wps/wcm/connect/d7bba6804452adff9306bb18189c0fa9/6/image3140709257528799097.jpg?MOD=AJPERES&amp;CACHEID=d7bba6804452adff9306bb18189c0fa9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sk-praha.cz/wps/wcm/connect/d7bba6804452adff9306bb18189c0fa9/6/image3140709257528799097.jpg?MOD=AJPERES&amp;CACHEID=d7bba6804452adff9306bb18189c0fa9/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Tab. 6. Nehody podle komunikace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15000" cy="3422650"/>
            <wp:effectExtent l="0" t="0" r="0" b="6350"/>
            <wp:docPr id="19" name="Obrázek 19" descr="http://www.tsk-praha.cz/wps/wcm/connect/d7bba6804452adff9306bb18189c0fa9/7/image2476990269617011141.jpg?MOD=AJPERES&amp;CACHEID=d7bba6804452adff9306bb18189c0fa9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sk-praha.cz/wps/wcm/connect/d7bba6804452adff9306bb18189c0fa9/7/image2476990269617011141.jpg?MOD=AJPERES&amp;CACHEID=d7bba6804452adff9306bb18189c0fa9/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Tab. 7. Nehody na místech vybavených světelnou signalizací</w:t>
      </w:r>
    </w:p>
    <w:p w:rsidR="00A81637" w:rsidRDefault="00A81637" w:rsidP="00A81637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5746750" cy="2197100"/>
            <wp:effectExtent l="0" t="0" r="6350" b="0"/>
            <wp:docPr id="18" name="Obrázek 18" descr="http://www.tsk-praha.cz/wps/wcm/connect/d7bba6804452adff9306bb18189c0fa9/8/image7580537680551500437.jpg?MOD=AJPERES&amp;CACHEID=d7bba6804452adff9306bb18189c0fa9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sk-praha.cz/wps/wcm/connect/d7bba6804452adff9306bb18189c0fa9/8/image7580537680551500437.jpg?MOD=AJPERES&amp;CACHEID=d7bba6804452adff9306bb18189c0fa9/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 </w:t>
      </w:r>
    </w:p>
    <w:p w:rsidR="00A81637" w:rsidRDefault="00A81637" w:rsidP="00A81637">
      <w:pPr>
        <w:pStyle w:val="Normlnweb"/>
      </w:pPr>
      <w:r>
        <w:t>Tab. 8. Nehody, motorizace a automobilizace</w:t>
      </w:r>
    </w:p>
    <w:p w:rsidR="00A81637" w:rsidRDefault="00A81637" w:rsidP="00A81637">
      <w:pPr>
        <w:pStyle w:val="Normlnweb"/>
      </w:pPr>
      <w:r>
        <w:rPr>
          <w:noProof/>
        </w:rPr>
        <w:drawing>
          <wp:inline distT="0" distB="0" distL="0" distR="0">
            <wp:extent cx="5727700" cy="3467100"/>
            <wp:effectExtent l="0" t="0" r="6350" b="0"/>
            <wp:docPr id="17" name="Obrázek 17" descr="http://www.tsk-praha.cz/wps/wcm/connect/d7bba6804452adff9306bb18189c0fa9/9/image4218883918610501248.jpg?MOD=AJPERES&amp;CACHEID=d7bba6804452adff9306bb18189c0fa9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sk-praha.cz/wps/wcm/connect/d7bba6804452adff9306bb18189c0fa9/9/image4218883918610501248.jpg?MOD=AJPERES&amp;CACHEID=d7bba6804452adff9306bb18189c0fa9/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37" w:rsidRDefault="00A81637" w:rsidP="00A81637">
      <w:pPr>
        <w:pStyle w:val="Normlnweb"/>
      </w:pPr>
      <w:r>
        <w:t>* dodávkové automobily vzaté do evidence do konce roku 1994 jsou zahrnuty v počtech osobních automobilů, dodávkové automobily vzaté do evidence od roku 1995 jsou zahrnuty v počtech nákladních automobilů</w:t>
      </w:r>
    </w:p>
    <w:p w:rsidR="00A81637" w:rsidRDefault="00A81637" w:rsidP="00A81637">
      <w:pPr>
        <w:pStyle w:val="Normlnweb"/>
      </w:pPr>
      <w:r>
        <w:t> květen 2006</w:t>
      </w:r>
    </w:p>
    <w:p w:rsidR="003160A6" w:rsidRPr="00A81637" w:rsidRDefault="003160A6" w:rsidP="00A81637"/>
    <w:sectPr w:rsidR="003160A6" w:rsidRPr="00A81637" w:rsidSect="002B06B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43" w:rsidRDefault="00346043" w:rsidP="007874B1">
      <w:pPr>
        <w:spacing w:after="0" w:line="240" w:lineRule="auto"/>
      </w:pPr>
      <w:r>
        <w:separator/>
      </w:r>
    </w:p>
  </w:endnote>
  <w:endnote w:type="continuationSeparator" w:id="0">
    <w:p w:rsidR="00346043" w:rsidRDefault="00346043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43" w:rsidRDefault="00346043" w:rsidP="007874B1">
      <w:pPr>
        <w:spacing w:after="0" w:line="240" w:lineRule="auto"/>
      </w:pPr>
      <w:r>
        <w:separator/>
      </w:r>
    </w:p>
  </w:footnote>
  <w:footnote w:type="continuationSeparator" w:id="0">
    <w:p w:rsidR="00346043" w:rsidRDefault="00346043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713"/>
    <w:multiLevelType w:val="multilevel"/>
    <w:tmpl w:val="284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17C3F"/>
    <w:multiLevelType w:val="multilevel"/>
    <w:tmpl w:val="83D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D5303"/>
    <w:multiLevelType w:val="multilevel"/>
    <w:tmpl w:val="E5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95FAB"/>
    <w:multiLevelType w:val="multilevel"/>
    <w:tmpl w:val="E0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37E61"/>
    <w:multiLevelType w:val="multilevel"/>
    <w:tmpl w:val="4C5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"/>
  </w:num>
  <w:num w:numId="5">
    <w:abstractNumId w:val="19"/>
  </w:num>
  <w:num w:numId="6">
    <w:abstractNumId w:val="23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4"/>
  </w:num>
  <w:num w:numId="14">
    <w:abstractNumId w:val="24"/>
  </w:num>
  <w:num w:numId="15">
    <w:abstractNumId w:val="14"/>
  </w:num>
  <w:num w:numId="16">
    <w:abstractNumId w:val="16"/>
  </w:num>
  <w:num w:numId="17">
    <w:abstractNumId w:val="20"/>
  </w:num>
  <w:num w:numId="18">
    <w:abstractNumId w:val="18"/>
  </w:num>
  <w:num w:numId="19">
    <w:abstractNumId w:val="15"/>
  </w:num>
  <w:num w:numId="20">
    <w:abstractNumId w:val="12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  <w:num w:numId="25">
    <w:abstractNumId w:val="25"/>
  </w:num>
  <w:num w:numId="26">
    <w:abstractNumId w:val="27"/>
  </w:num>
  <w:num w:numId="27">
    <w:abstractNumId w:val="2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739D"/>
    <w:rsid w:val="000B2E96"/>
    <w:rsid w:val="000E506B"/>
    <w:rsid w:val="00105F0C"/>
    <w:rsid w:val="00141559"/>
    <w:rsid w:val="00170221"/>
    <w:rsid w:val="00170467"/>
    <w:rsid w:val="001827C6"/>
    <w:rsid w:val="001B5F55"/>
    <w:rsid w:val="001C3557"/>
    <w:rsid w:val="001C5170"/>
    <w:rsid w:val="001D5CCF"/>
    <w:rsid w:val="001F38E6"/>
    <w:rsid w:val="001F7A30"/>
    <w:rsid w:val="0022297D"/>
    <w:rsid w:val="00237064"/>
    <w:rsid w:val="002B06BF"/>
    <w:rsid w:val="002C155D"/>
    <w:rsid w:val="002C5661"/>
    <w:rsid w:val="002D3904"/>
    <w:rsid w:val="002E483B"/>
    <w:rsid w:val="002F3478"/>
    <w:rsid w:val="003160A6"/>
    <w:rsid w:val="00323CE8"/>
    <w:rsid w:val="00333380"/>
    <w:rsid w:val="00346043"/>
    <w:rsid w:val="00363617"/>
    <w:rsid w:val="00384677"/>
    <w:rsid w:val="00385EE8"/>
    <w:rsid w:val="003A4754"/>
    <w:rsid w:val="003B25A4"/>
    <w:rsid w:val="003C76EB"/>
    <w:rsid w:val="003F51A6"/>
    <w:rsid w:val="00441512"/>
    <w:rsid w:val="004566C6"/>
    <w:rsid w:val="0046488A"/>
    <w:rsid w:val="004A3666"/>
    <w:rsid w:val="004C02B6"/>
    <w:rsid w:val="004C0980"/>
    <w:rsid w:val="004C21E3"/>
    <w:rsid w:val="004E1399"/>
    <w:rsid w:val="00506AB9"/>
    <w:rsid w:val="00523D7A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B6469"/>
    <w:rsid w:val="006C0170"/>
    <w:rsid w:val="006E5AF9"/>
    <w:rsid w:val="006F20AB"/>
    <w:rsid w:val="007403A6"/>
    <w:rsid w:val="00781285"/>
    <w:rsid w:val="007874B1"/>
    <w:rsid w:val="007E4A9C"/>
    <w:rsid w:val="00860F5F"/>
    <w:rsid w:val="00861623"/>
    <w:rsid w:val="008B331A"/>
    <w:rsid w:val="008C3C11"/>
    <w:rsid w:val="008E4CC4"/>
    <w:rsid w:val="008F1438"/>
    <w:rsid w:val="00924F1A"/>
    <w:rsid w:val="009519F1"/>
    <w:rsid w:val="00A6026E"/>
    <w:rsid w:val="00A7269D"/>
    <w:rsid w:val="00A81637"/>
    <w:rsid w:val="00AA337B"/>
    <w:rsid w:val="00B155AE"/>
    <w:rsid w:val="00B34035"/>
    <w:rsid w:val="00B457AF"/>
    <w:rsid w:val="00B4642D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CC6D7B"/>
    <w:rsid w:val="00D666BB"/>
    <w:rsid w:val="00D73628"/>
    <w:rsid w:val="00D74153"/>
    <w:rsid w:val="00DB6318"/>
    <w:rsid w:val="00DC26B3"/>
    <w:rsid w:val="00DC57EA"/>
    <w:rsid w:val="00DF1EB4"/>
    <w:rsid w:val="00E21C26"/>
    <w:rsid w:val="00E42DA6"/>
    <w:rsid w:val="00E6098C"/>
    <w:rsid w:val="00EC0E84"/>
    <w:rsid w:val="00EC70F6"/>
    <w:rsid w:val="00EE3BBF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46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88C4-044A-4EC0-88A7-F1FFB81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2014-03-14T08:32:00Z</dcterms:created>
  <dcterms:modified xsi:type="dcterms:W3CDTF">2014-03-14T08:33:00Z</dcterms:modified>
</cp:coreProperties>
</file>